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34 BVG</w:t>
      </w:r>
    </w:p>
    <w:p>
      <w:r>
        <w:rPr>
          <w:color w:val="555555"/>
          <w:sz w:val="18"/>
        </w:rPr>
        <w:t xml:space="preserve">Bundesversorgungsgesetz</w:t>
      </w:r>
    </w:p>
    <w:p>
      <w:r>
        <w:rPr>
          <w:color w:val="555555"/>
          <w:sz w:val="18"/>
        </w:rPr>
        <w:t xml:space="preserve">Historische Fassung: Stand 10.06.2019 bis 01.01.2024. Dies ist nicht die aktuelle Fassung.</w:t>
      </w:r>
    </w:p>
    <w:p>
      <w:r>
        <w:t xml:space="preserve">(1) Die Ausgleichsrente beträgt für Schwerbeschädigte vor Vollendung des 14. Lebensjahrs bis zu 30 vom Hundert, vor Vollendung des 18. Lebensjahrs bis zu 50 vom Hundert der Sätze des § 32 Abs. 2; sie ist auf den vollen Satz zu erhöhen, wenn der Schwerbeschädigte seinen Lebensunterhalt allein bestreiten muß.</w:t>
      </w:r>
    </w:p>
    <w:p>
      <w:r>
        <w:t xml:space="preserve">(2) Ausgleichsrente ist nur insoweit zu gewähren, als dies nach den wirtschaftlichen Verhältnissen des Beschädigten und seiner unterhaltspflichtigen Angehörigen gerechtfertigt ist. Lehrlingsvergütung bis zu 77 Euro monatlich bleibt unberücksichtigt.</w:t>
      </w:r>
    </w:p>
    <w:p>
      <w:r>
        <w:rPr>
          <w:color w:val="555555"/>
          <w:sz w:val="17"/>
        </w:rPr>
        <w:t xml:space="preserve">Zitiervorschlag: § 34 BVG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https://recht.nulegal.eu/gesetze/BVG/34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