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Schwerbeschädigte erhalten für jedes Kind einen Kinderzuschlag. Das gilt nicht, wenn für dasselbe Kind Anspruch auf Kindergeld oder auf Leistungen im Sinne des § 4 Abs. 1 Satz 1 Nr. 1 des Bundeskindergeldgesetzes besteht oder nach dem Einkommensteuergesetz ein Kinderfreibetrag zusteht.</w:t>
      </w:r>
    </w:p>
    <w:p>
      <w:r>
        <w:t xml:space="preserve">(2) Als Kinder gelten auch die in den Haushalt des Beschädigten aufgenommenen Stiefkinder oder Kinder des Lebenspartners. Kinder, die mit dem Ziel der Annahme als Kind in die Obhut des Annehmenden aufgenommen sind und für die die zur Annahme erforderliche Einwilligung der Eltern erteilt ist, gelten als Kinder des Annehmenden und nicht mehr als Kinder der leiblichen Eltern.</w:t>
      </w:r>
    </w:p>
    <w:p>
      <w:r>
        <w:t xml:space="preserve">(3) Erfüllen mehrere Beschädigte für dasselbe Kind die Voraussetzungen der Absätze 1 und 2, ist der Kinderzuschlag nur einmal zu gewähren. Anspruchsberechtigt ist derjenige, der das Kind überwiegend unterhält. Unterhält keiner der Beschädigten das Kind überwiegend, wird § 3 Abs. 2 des Bundeskindergeldgesetzes angewandt.</w:t>
      </w:r>
    </w:p>
    <w:p>
      <w:r>
        <w:t xml:space="preserve">(4) Der Kinderzuschlag wird bis zur Vollendung des 18. Lebensjahres gewährt. Er ist in gleicher Weise nach Vollendung des 18. Lebensjahres für ein Kind zu gewähren, das</w:t>
      </w:r>
    </w:p>
    <w:p>
      <w:pPr>
        <w:ind w:left="420"/>
      </w:pPr>
      <w:r>
        <w:t xml:space="preserve">1. noch nicht das 21. Lebensjahr vollendet hat, nicht in einem Beschäftigungsverhältnis steht und bei einer Agentur für Arbeit im Inland als arbeitsuchend gemeldet ist,</w:t>
      </w:r>
    </w:p>
    <w:p>
      <w:pPr>
        <w:ind w:left="420"/>
      </w:pPr>
      <w:r>
        <w:t xml:space="preserve">2. noch nicht das 27. Lebensjahr vollendet hat und</w:t>
      </w:r>
    </w:p>
    <w:p>
      <w:pPr>
        <w:ind w:left="780"/>
      </w:pPr>
      <w:r>
        <w:t xml:space="preserve">a) sich in einer Schul- oder Berufsausbildung befindet, die seine Arbeitskraft überwiegend in Anspruch nimmt und nicht mit der Zahlung von Dienstbezügen, Arbeitsentgelt oder sonstigen Zuwendungen in entsprechender Höhe verbunden ist, oder</w:t>
      </w:r>
    </w:p>
    <w:p>
      <w:pPr>
        <w:ind w:left="780"/>
      </w:pPr>
      <w:r>
        <w:t xml:space="preserve">b) sich in einer Übergangszeit von in der Regel höchstens sieben Kalendermonaten befindet, die zwischen zwei Ausbildungsabschnitten oder zwischen einem Ausbildungsabschnitt und der Ableistung des gesetzlichen Wehr- oder Zivildienstes, einem dem Wehr- oder Zivildienst gleichgestellten Dienst oder der Ableistung eines freiwilligen Dienstes im Sinne des Buchstaben d liegt, oder</w:t>
      </w:r>
    </w:p>
    <w:p>
      <w:pPr>
        <w:ind w:left="780"/>
      </w:pPr>
      <w:r>
        <w:t xml:space="preserve">c) eine Berufsausbildung mangels Ausbildungsplatzes nicht beginnen oder fortsetzen kann oder</w:t>
      </w:r>
    </w:p>
    <w:p>
      <w:pPr>
        <w:ind w:left="780"/>
      </w:pPr>
      <w:r>
        <w:t xml:space="preserve">d) einen freiwilligen Dienst im Sinne des § 32 Absatz 4 Satz 1 Nummer 2 Buchstabe d des Einkommensteuergesetzes leistet oder</w:t>
      </w:r>
    </w:p>
    <w:p>
      <w:pPr>
        <w:ind w:left="420"/>
      </w:pPr>
      <w:r>
        <w:t xml:space="preserve">3. wegen körperlicher, geistiger oder seelischer Behinderung spätestens bei Vollendung des 27. Lebensjahres außerstande ist, sich selbst zu unterhalten, solange dieser Zustand dauert, über die Vollendung des 27. Lebensjahres hinaus jedoch nur, wenn sein Ehegatte oder Lebenspartner außerstande ist, es zu unterhalten.</w:t>
      </w:r>
    </w:p>
    <w:p>
      <w:r>
        <w:t xml:space="preserve">Bei der Anwendung des Satzes 1 gilt § 32 Abs. 4 Satz 2 und 3 des Einkommensteuergesetzes oder § 2 Abs. 2 Satz 2 und 3 des Bundeskindergeldgesetzes entsprechend. Hatte ein Kind, das bei Vollendung des 27. Lebensjahres körperlich, geistig oder seelisch behindert war, nach diesem Zeitpunkt eine Erwerbstätigkeit ausgeübt, so ist der Kinderzuschlag erneut zu gewähren, wenn und solange es wegen desselben körperlichen oder geistigen Gebrechens erneut außerstande ist, sich selbst zu unterhalten. Im Falle der Unterbrechung oder Verzögerung der Schul- oder Berufsausbildung durch Erfüllung der gesetzlichen Wehr- oder Zivildienstpflicht eines Kindes im Sinne des Satzes 2 Buchstabe a ist der Kinderzuschlag für einen der Zeit dieses Dienstes entsprechenden Zeitraum über das 27. Lebensjahr hinaus zu gewähren. Satz 5 gilt entsprechend für den auf den Grundwehrdienst anzurechnenden Wehrdienst, den ein Soldat auf Grund freiwilliger Verpflichtung für eine Dienstzeit von nicht mehr als drei Jahren geleistet hat sowie für die vom Wehr- und Zivildienst befreiende Tätigkeit als Entwicklungshelfer im Sinne des § 1 Abs. 1 des Entwicklungshelfer-Gesetzes für einen der Dauer dieses Dienstes oder der Tätigkeit entsprechenden Zeitraum, höchstens für die Dauer des inländischen gesetzlichen Grundwehrdienstes, bei anerkannten Kriegsdienstverweigerern für die Dauer des inländischen gesetzlichen Zivildienstes über das 21. oder 27. Lebensjahr hinaus berücksichtigt. Wird der gesetzliche Grundwehrdienst oder Zivildienst in einem Mitgliedstaat der Europäischen Union oder einem Staat, auf den das Abkommen über den Europäischen Wirtschaftsraum Anwendung findet, geleistet, so ist die Dauer dieses Dienstes maßgebend. § 2 Abs. 2 Satz 2 bis 7 des Bundeskindergeldgesetzes gilt entsprechend. Verzögert sich die Schul- oder Berufsausbildung aus einem Grund, den weder der Beschädigte noch das Kind zu vertreten haben, so wird der Kinderzuschlag entsprechend dem Zeitraum der nachgewiesenen Verzögerung länger gewährt.</w:t>
      </w:r>
    </w:p>
    <w:p>
      <w:r>
        <w:t xml:space="preserve">(5) Der Kinderzuschlag ist in Höhe des gesetzlichen Kindergelds zu gewähren. Der Zuschlag ist um Kinderzuschüsse oder ähnliche Leistungen, die für das Kind gezahlt werden oder zu gewähren sind, zu kürzen. Steht keine Ausgleichsrente und kein Zuschlag nach § 33a zu, so gilt § 33 entsprechend mit folgender Maßgabe:</w:t>
      </w:r>
    </w:p>
    <w:p>
      <w:pPr>
        <w:ind w:left="420"/>
      </w:pPr>
      <w:r>
        <w:t xml:space="preserve">a) Das anzurechnende Einkommen ist nur insoweit zu berücksichtigen, als es nicht bereits zum Wegfall der Ausgleichsrente und des Zuschlags nach § 33a geführt hat.</w:t>
      </w:r>
    </w:p>
    <w:p>
      <w:pPr>
        <w:ind w:left="420"/>
      </w:pPr>
      <w:r>
        <w:t xml:space="preserve">b) § 33 Abs. 1 Satz 2 Buchstabe b ist nicht anzuwenden.</w:t>
      </w:r>
    </w:p>
    <w:p>
      <w:r>
        <w:t xml:space="preserve">Werden Kinderzuschläge für mehrere Kinder gewährt, so ist das nach Satz 3 Buchstabe a anzurechnende Einkommen nach dem Verhältnis aufzuteilen, in dem die Beträge der einzelnen Kinderzuschläge zueinander stehen.</w:t>
      </w:r>
    </w:p>
    <w:p>
      <w:r>
        <w:t xml:space="preserve">(6) Bei Empfängern einer Pflegezulage ist, auch wenn die Pflegezulage nach § 35 Abs. 4 nicht gezahlt wird oder nach § 65 Abs. 1 ruht, Absatz 5 Satz 2 und 3 nicht anzuwenden. Für jedes Kind, für das ihnen nach Absatz 1 kein Kinderzuschlag zusteht, erhalten sie einen Zuschlag in Höhe des gesetzlichen Kindergelds, das für das erste Kind vorgesehen ist.</w:t>
      </w:r>
    </w:p>
    <w:p>
      <w:r>
        <w:t xml:space="preserve">(7) Steht die Vertretung in den persönlichen Angelegenheiten des Kindes nicht dem Beschädigten zu, so kann der gesetzliche Vertreter des Kindes die Zahlung des Kinderzuschlags an sich beantragen. Ist das Kind volljährig, so kann es die Zahlung an sich selbst beantragen.</w:t>
      </w:r>
    </w:p>
    <w:p>
      <w:r>
        <w:rPr>
          <w:color w:val="555555"/>
          <w:sz w:val="17"/>
        </w:rPr>
        <w:t xml:space="preserve">Zitiervorschlag: § 33b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