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33a BVG</w:t>
      </w:r>
    </w:p>
    <w:p>
      <w:r>
        <w:rPr>
          <w:color w:val="555555"/>
          <w:sz w:val="18"/>
        </w:rPr>
        <w:t xml:space="preserve">Bundesversorgungsgesetz</w:t>
      </w:r>
    </w:p>
    <w:p>
      <w:r>
        <w:rPr>
          <w:color w:val="555555"/>
          <w:sz w:val="18"/>
        </w:rPr>
        <w:t xml:space="preserve">Historische Fassung: Stand 01.07.2023 bis 01.01.2024. Dies ist nicht die aktuelle Fassung.</w:t>
      </w:r>
    </w:p>
    <w:p>
      <w:r>
        <w:t xml:space="preserve">(1) Schwerbeschädigte erhalten für den Ehegatten oder Lebenspartner einen Zuschlag von 100 Euro monatlich. Den Zuschlag erhalten auch Schwerbeschädigte, deren Ehe oder Lebenspartnerschaft aufgelöst oder für nichtig erklärt worden ist, wenn sie im eigenen Haushalt für ein Kind im Sinne des § 33b Abs. 1 Satz 1 und der Absätze 2 bis 4 sorgen. Steht keine Ausgleichsrente zu, so gilt § 33 entsprechend mit folgender Maßgabe:</w:t>
      </w:r>
    </w:p>
    <w:p>
      <w:pPr>
        <w:ind w:left="420"/>
      </w:pPr>
      <w:r>
        <w:t xml:space="preserve">a) Das anzurechnende Einkommen ist nur insoweit zu berücksichtigen, als es nicht bereits zum Wegfall der Ausgleichsrente geführt hat.</w:t>
      </w:r>
    </w:p>
    <w:p>
      <w:pPr>
        <w:ind w:left="420"/>
      </w:pPr>
      <w:r>
        <w:t xml:space="preserve">b) § 33 Abs. 1 Satz 2 Buchstabe b ist nicht anzuwenden.</w:t>
      </w:r>
    </w:p>
    <w:p>
      <w:r>
        <w:t xml:space="preserve">(2) Alle Empfänger einer Pflegezulage erhalten den vollen Zuschlag, auch wenn die Pflegezulage nach § 35 Abs. 4 nicht gezahlt wird oder nach § 65 Abs. 1 ruht.</w:t>
      </w:r>
    </w:p>
    <w:p>
      <w:r>
        <w:rPr>
          <w:color w:val="555555"/>
          <w:sz w:val="17"/>
        </w:rPr>
        <w:t xml:space="preserve">Zitiervorschlag: § 33a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