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Schwerbeschädigte erhalten eine Ausgleichsrente, wenn sie infolge ihres Gesundheitszustands oder hohen Alters oder aus einem von ihnen nicht zu vertretenden sonstigen Grund eine ihnen zumutbare Erwerbstätigkeit nicht oder nur in beschränktem Umfang oder nur mit überdurchschnittlichem Kräfteaufwand ausüben können.</w:t>
      </w:r>
    </w:p>
    <w:p>
      <w:r>
        <w:t xml:space="preserve">(2) Die volle Ausgleichsrente beträgt monatlich bei einem Grad der Schädigungsfolgen</w:t>
      </w:r>
    </w:p>
    <w:p>
      <w:r>
        <w:rPr>
          <w:rFonts w:ascii="Courier New" w:hAnsi="Courier New"/>
          <w:sz w:val="17"/>
        </w:rPr>
        <w:t xml:space="preserve">von 50 oder 60    549 Euro,</w:t>
      </w:r>
    </w:p>
    <w:p>
      <w:r>
        <w:rPr>
          <w:rFonts w:ascii="Courier New" w:hAnsi="Courier New"/>
          <w:sz w:val="17"/>
        </w:rPr>
        <w:t xml:space="preserve">von 70 oder 80    663 Euro,</w:t>
      </w:r>
    </w:p>
    <w:p>
      <w:r>
        <w:rPr>
          <w:rFonts w:ascii="Courier New" w:hAnsi="Courier New"/>
          <w:sz w:val="17"/>
        </w:rPr>
        <w:t xml:space="preserve">von 90    797 Euro,</w:t>
      </w:r>
    </w:p>
    <w:p>
      <w:r>
        <w:rPr>
          <w:rFonts w:ascii="Courier New" w:hAnsi="Courier New"/>
          <w:sz w:val="17"/>
        </w:rPr>
        <w:t xml:space="preserve">von 100    891 Euro.</w:t>
      </w:r>
    </w:p>
    <w:p>
      <w:r>
        <w:rPr>
          <w:color w:val="555555"/>
          <w:sz w:val="17"/>
        </w:rPr>
        <w:t xml:space="preserve">Zitiervorschlag: § 32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