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Beschädigte erhalten eine monatliche Grundrente bei einem Grad der Schädigungsfolgen</w:t>
      </w:r>
    </w:p>
    <w:p>
      <w:r>
        <w:rPr>
          <w:rFonts w:ascii="Courier New" w:hAnsi="Courier New"/>
          <w:sz w:val="17"/>
        </w:rPr>
        <w:t xml:space="preserve">von 30    in Höhe von 171 Euro,</w:t>
      </w:r>
    </w:p>
    <w:p>
      <w:r>
        <w:rPr>
          <w:rFonts w:ascii="Courier New" w:hAnsi="Courier New"/>
          <w:sz w:val="17"/>
        </w:rPr>
        <w:t xml:space="preserve">von 40    in Höhe von 233 Euro,</w:t>
      </w:r>
    </w:p>
    <w:p>
      <w:r>
        <w:rPr>
          <w:rFonts w:ascii="Courier New" w:hAnsi="Courier New"/>
          <w:sz w:val="17"/>
        </w:rPr>
        <w:t xml:space="preserve">von 50    in Höhe von 311 Euro,</w:t>
      </w:r>
    </w:p>
    <w:p>
      <w:r>
        <w:rPr>
          <w:rFonts w:ascii="Courier New" w:hAnsi="Courier New"/>
          <w:sz w:val="17"/>
        </w:rPr>
        <w:t xml:space="preserve">von 60    in Höhe von 396 Euro,</w:t>
      </w:r>
    </w:p>
    <w:p>
      <w:r>
        <w:rPr>
          <w:rFonts w:ascii="Courier New" w:hAnsi="Courier New"/>
          <w:sz w:val="17"/>
        </w:rPr>
        <w:t xml:space="preserve">von 70    in Höhe von 549 Euro,</w:t>
      </w:r>
    </w:p>
    <w:p>
      <w:r>
        <w:rPr>
          <w:rFonts w:ascii="Courier New" w:hAnsi="Courier New"/>
          <w:sz w:val="17"/>
        </w:rPr>
        <w:t xml:space="preserve">von 80    in Höhe von 663 Euro,</w:t>
      </w:r>
    </w:p>
    <w:p>
      <w:r>
        <w:rPr>
          <w:rFonts w:ascii="Courier New" w:hAnsi="Courier New"/>
          <w:sz w:val="17"/>
        </w:rPr>
        <w:t xml:space="preserve">von 90    in Höhe von 797 Euro,</w:t>
      </w:r>
    </w:p>
    <w:p>
      <w:r>
        <w:rPr>
          <w:rFonts w:ascii="Courier New" w:hAnsi="Courier New"/>
          <w:sz w:val="17"/>
        </w:rPr>
        <w:t xml:space="preserve">von 100    in Höhe von 891 Euro.</w:t>
      </w:r>
    </w:p>
    <w:p>
      <w:pPr>
        <w:ind w:left="420"/>
      </w:pPr>
      <w:r>
        <w:t xml:space="preserve">8. Die monatliche Grundrente erhöht sich für Schwerbeschädigte, die das 65. Lebensjahr vollendet haben, bei einem Grad der Schädigungsfolgen</w:t>
      </w:r>
    </w:p>
    <w:p>
      <w:r>
        <w:rPr>
          <w:rFonts w:ascii="Courier New" w:hAnsi="Courier New"/>
          <w:sz w:val="17"/>
        </w:rPr>
        <w:t xml:space="preserve">von 50 und 60    um 35 Euro,</w:t>
      </w:r>
    </w:p>
    <w:p>
      <w:r>
        <w:rPr>
          <w:rFonts w:ascii="Courier New" w:hAnsi="Courier New"/>
          <w:sz w:val="17"/>
        </w:rPr>
        <w:t xml:space="preserve">von 70 und 80    um 43 Euro,</w:t>
      </w:r>
    </w:p>
    <w:p>
      <w:r>
        <w:rPr>
          <w:rFonts w:ascii="Courier New" w:hAnsi="Courier New"/>
          <w:sz w:val="17"/>
        </w:rPr>
        <w:t xml:space="preserve">von mindestens 90    um 53 Euro.</w:t>
      </w:r>
    </w:p>
    <w:p>
      <w:r>
        <w:t xml:space="preserve">(2) Schwerbeschädigung liegt vor, wenn ein Grad der Schädigungsfolgen von mindestens 50 festgestellt ist.</w:t>
      </w:r>
    </w:p>
    <w:p>
      <w:r>
        <w:t xml:space="preserve">(3) Beschädigte, bei denen Blindheit als Folge einer Schädigung anerkannt ist, erhalten stets die Rente nach einem Grad der Schädigungsfolgen von 100. Beschädigte mit Anspruch auf eine Pflegezulage gelten stets als Schwerbeschädigte. Sie erhalten mindestens eine Versorgung nach einem Grad der Schädigungsfolgen von 50.</w:t>
      </w:r>
    </w:p>
    <w:p>
      <w:r>
        <w:t xml:space="preserve">(4) Beschädigte mit einem Grad der Schädigungsfolgen von 100, die durch die anerkannten Schädigungsfolgen gesundheitlich außergewöhnlich betroffen sind, erhalten eine monatliche Schwerstbeschädigtenzulage, die in folgenden Stufen gewährt wird:</w:t>
      </w:r>
    </w:p>
    <w:p>
      <w:r>
        <w:rPr>
          <w:rFonts w:ascii="Courier New" w:hAnsi="Courier New"/>
          <w:sz w:val="17"/>
        </w:rPr>
        <w:t xml:space="preserve">Stufe I    103 Euro,</w:t>
      </w:r>
    </w:p>
    <w:p>
      <w:r>
        <w:rPr>
          <w:rFonts w:ascii="Courier New" w:hAnsi="Courier New"/>
          <w:sz w:val="17"/>
        </w:rPr>
        <w:t xml:space="preserve">Stufe II    212 Euro,</w:t>
      </w:r>
    </w:p>
    <w:p>
      <w:r>
        <w:rPr>
          <w:rFonts w:ascii="Courier New" w:hAnsi="Courier New"/>
          <w:sz w:val="17"/>
        </w:rPr>
        <w:t xml:space="preserve">Stufe III    316 Euro,</w:t>
      </w:r>
    </w:p>
    <w:p>
      <w:r>
        <w:rPr>
          <w:rFonts w:ascii="Courier New" w:hAnsi="Courier New"/>
          <w:sz w:val="17"/>
        </w:rPr>
        <w:t xml:space="preserve">Stufe IV    424 Euro,</w:t>
      </w:r>
    </w:p>
    <w:p>
      <w:r>
        <w:rPr>
          <w:rFonts w:ascii="Courier New" w:hAnsi="Courier New"/>
          <w:sz w:val="17"/>
        </w:rPr>
        <w:t xml:space="preserve">Stufe V    527 Euro,</w:t>
      </w:r>
    </w:p>
    <w:p>
      <w:r>
        <w:rPr>
          <w:rFonts w:ascii="Courier New" w:hAnsi="Courier New"/>
          <w:sz w:val="17"/>
        </w:rPr>
        <w:t xml:space="preserve">Stufe VI    636 Euro.</w:t>
      </w:r>
    </w:p>
    <w:p>
      <w:r>
        <w:t xml:space="preserve">Die Bundesregierung wird ermächtigt, mit Zustimmung des Bundesrates durch Rechtsverordnung den Personenkreis, der durch seine Schädigungsfolgen außergewöhnlich betroffen ist, sowie seine Einordnung in die Stufen I bis VI näher zu bestimmen.</w:t>
      </w:r>
    </w:p>
    <w:p>
      <w:r>
        <w:rPr>
          <w:color w:val="555555"/>
          <w:sz w:val="17"/>
        </w:rPr>
        <w:t xml:space="preserve">Zitiervorschlag: § 31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