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BVG</w:t>
      </w:r>
    </w:p>
    <w:p>
      <w:r>
        <w:rPr>
          <w:color w:val="555555"/>
          <w:sz w:val="18"/>
        </w:rPr>
        <w:t xml:space="preserve">Bundesversorgungsgesetz</w:t>
      </w:r>
    </w:p>
    <w:p>
      <w:r>
        <w:rPr>
          <w:color w:val="555555"/>
          <w:sz w:val="18"/>
        </w:rPr>
        <w:t xml:space="preserve">Historische Fassung: Stand 18.01.2020 bis 01.01.2024. Dies ist nicht die aktuelle Fassung.</w:t>
      </w:r>
    </w:p>
    <w:p>
      <w:r>
        <w:t xml:space="preserve">(1) Der Grad der Schädigungsfolgen ist nach den allgemeinen Auswirkungen der Funktionsbeeinträchtigungen, die durch die als Schädigungsfolge anerkannten körperlichen, geistigen oder seelischen Gesundheitsstörungen bedingt sind, in allen Lebensbereichen zu beurteilen. Der Grad der Schädigungsfolgen ist nach Zehnergraden von 10 bis 100 zu bemessen; ein bis zu fünf Grad geringerer Grad der Schädigungsfolgen wird vom höheren Zehnergrad mit umfasst. Vorübergehende Gesundheitsstörungen sind nicht zu berücksichtigen; als vorübergehend gilt ein Zeitraum bis zu sechs Monaten. Bei beschädigten Kindern und Jugendlichen ist der Grad der Schädigungsfolgen nach dem Grad zu bemessen, der sich bei Erwachsenen mit gleicher Gesundheitsstörung ergibt, soweit damit keine Schlechterstellung der Kinder und Jugendlichen verbunden ist. Für erhebliche äußere Gesundheitsschäden können Mindestgrade festgesetzt werden.</w:t>
      </w:r>
    </w:p>
    <w:p>
      <w:r>
        <w:t xml:space="preserve">(2) Der Grad der Schädigungsfolgen ist höher zu bewerten, wenn Beschädigte durch die Art der Schädigungsfolgen im vor der Schädigung ausgeübten oder begonnenen Beruf, im nachweisbar angestrebten oder in dem Beruf besonders betroffen sind, der nach Eintritt der Schädigung ausgeübt wurde oder noch ausgeübt wird. Das ist insbesondere der Fall, wenn</w:t>
      </w:r>
    </w:p>
    <w:p>
      <w:pPr>
        <w:ind w:left="420"/>
      </w:pPr>
      <w:r>
        <w:t xml:space="preserve">1. auf Grund der Schädigung weder der bisher ausgeübte, begonnene oder nachweisbar angestrebte noch ein sozial gleichwertiger Beruf ausgeübt werden kann,</w:t>
      </w:r>
    </w:p>
    <w:p>
      <w:pPr>
        <w:ind w:left="420"/>
      </w:pPr>
      <w:r>
        <w:t xml:space="preserve">2. zwar der vor der Schädigung ausgeübte oder begonnene Beruf weiter ausgeübt wird oder der nachweisbar angestrebte Beruf erreicht wurde, Beschädigte jedoch in diesem Beruf durch die Art der Schädigungsfolgen in einem wesentlich höheren Ausmaß als im allgemeinen Erwerbsleben erwerbsgemindert sind, oder</w:t>
      </w:r>
    </w:p>
    <w:p>
      <w:pPr>
        <w:ind w:left="420"/>
      </w:pPr>
      <w:r>
        <w:t xml:space="preserve">3. die Schädigung nachweisbar den weiteren Aufstieg im Beruf gehindert hat.</w:t>
      </w:r>
    </w:p>
    <w:p>
      <w:r>
        <w:t xml:space="preserve">(3) Rentenberechtigte Beschädigte, deren Einkommen aus gegenwärtiger oder früherer Tätigkeit durch die Schädigungsfolgen gemindert ist, erhalten nach Anwendung des Absatzes 2 einen Berufsschadensausgleich in Höhe von 42,5 vom Hundert des auf volle Euro aufgerundeten Einkommensverlustes (Absatz 4) oder, falls dies günstiger ist, einen Berufsschadensausgleich nach Absatz 6.</w:t>
      </w:r>
    </w:p>
    <w:p>
      <w:r>
        <w:t xml:space="preserve">(4) Einkommensverlust ist der Unterschiedsbetrag zwischen dem derzeitigen Bruttoeinkommen aus gegenwärtiger oder früherer Tätigkeit zuzüglich der Ausgleichsrente (derzeitiges Einkommen) und dem höheren Vergleichseinkommen. Haben Beschädigte Anspruch auf eine in der Höhe vom Einkommen beeinflußte Rente wegen Todes nach den Vorschriften anderer Sozialleistungsbereiche, ist abweichend von Satz 1 der Berechnung des Einkommensverlustes die Ausgleichsrente zugrunde zu legen, die sich ohne Berücksichtigung dieser Rente wegen Todes ergäbe. Ist die Rente aus der gesetzlichen Rentenversicherung gemindert, weil das Erwerbseinkommen in einem in der Vergangenheit liegenden Zeitraum, der nicht mehr als die Hälfte des Erwerbslebens umfaßt, schädigungsbedingt gemindert war, so ist die Rentenminderung abweichend von Satz 1 der Einkommensverlust. Das Ausmaß der Minderung wird ermittelt, indem der Rentenberechnung für Beschädigte Entgeltpunkte zugrunde gelegt werden, die sich ohne Berücksichtigung der Zeiten ergäben, in denen das Erwerbseinkommen der Beschädigten schädigungsbedingt gemindert ist.</w:t>
      </w:r>
    </w:p>
    <w:p>
      <w:r>
        <w:t xml:space="preserve">(5) Das Vergleichseinkommen errechnet sich nach den Sätzen 2 bis 5. Zur Ermittlung des Durchschnittseinkommens sind die Grundgehälter der Besoldungsgruppen der Bundesbesoldungsordnung A aus den vorletzten drei der Anpassung vorangegangenen Kalenderjahren heranzuziehen. Beträge des Durchschnittseinkommens bis 0,49 Euro sind auf volle Euro abzurunden und von 0,50 Euro an auf volle Euro aufzurunden. Der Mittelwert aus den drei Jahren ist um den Prozentsatz anzupassen, der sich aus der Summe der für die Rentenanpassung des laufenden Jahres sowie des Vorjahres maßgebenden Veränderungsraten der Bruttolöhne und -gehälter je Arbeitnehmer (§ 68 Absatz 2 in Verbindung mit § 228b des Sechsten Buches Sozialgesetzbuch) ergibt; die Veränderungsraten werden jeweils bestimmt, indem der Faktor für die Veränderung der Bruttolöhne und -gehälter je Arbeitnehmer um eins vermindert und durch Vervielfältigung mit 100 in einen Prozentsatz umgerechnet wird. Das Vergleichseinkommen wird zum 1. Juli eines jeden Jahres neu festgesetzt; wenn das nach den Sätzen 1 bis 6 errechnete Vergleichseinkommen geringer ist, als das bisherige Vergleichseinkommen, bleibt es unverändert. Es ist durch das Bundesministerium für Arbeit und Soziales zu ermitteln und im Bundesanzeiger bekanntzugeben; die Beträge sind auf volle Euro aufzurunden. Abweichend von den Sätzen 1 bis 5 sind die Vergleichseinkommen der Tabellen 1 bis 4 der Bekanntmachung vom 14. Mai 1996 (BAnz. S. 6419) für die Zeit vom 1. Juli 1997 bis 30. Juni 1998 durch Anpassung der dort veröffentlichten Werte mit dem Vomhundertsatz zu ermitteln, der in § 56 Absatz 1 Satz 1 bestimmt ist; Satz 6 zweiter Halbsatz gilt entsprechend.</w:t>
      </w:r>
    </w:p>
    <w:p>
      <w:r>
        <w:t xml:space="preserve">(6) Berufsschadensausgleich nach Absatz 3 letzter Satzteil ist der Nettobetrag des Vergleicheinkommens (Absatz 7) abzüglich des Nettoeinkommens aus gegenwärtiger oder früherer Erwerbstätigkeit (Absatz 8), der Ausgleichsrente (§§ 32, 33) und des Ehegattenzuschlages (§ 33a). Absatz 4 Satz 2 gilt entsprechend.</w:t>
      </w:r>
    </w:p>
    <w:p>
      <w:r>
        <w:t xml:space="preserve">(7) Der Nettobetrag des Vergleichseinkommens wird bei Beschädigten, die nach dem 30. Juni 1927 geboren sind, für die Zeit bis zum Ablauf des Monats, in dem sie auch ohne die Schädigung aus dem Erwerbsleben ausgeschieden wären, längstens jedoch bis zum Ablauf des Monats, in dem der Beschädigte die Regelaltersgrenze nach dem Sechsten Buch Sozialgesetzbuch erreicht, pauschal ermittelt, indem das Vergleichseinkommen</w:t>
      </w:r>
    </w:p>
    <w:p>
      <w:pPr>
        <w:ind w:left="420"/>
      </w:pPr>
      <w:r>
        <w:t xml:space="preserve">1. bei verheirateten Beschädigten um 18 vom Hundert, der 716 Euro übersteigende Teil um 36 vom Hundert und der 1 790 Euro übersteigende Teil um 40 vom Hundert,</w:t>
      </w:r>
    </w:p>
    <w:p>
      <w:pPr>
        <w:ind w:left="420"/>
      </w:pPr>
      <w:r>
        <w:t xml:space="preserve">2. bei nicht verheirateten Beschädigten um 18 vom Hundert, der 460 Euro übersteigende Teil um 40 vom Hundert und der 1 380 Euro übersteigende Teil um 49 vom Hundert</w:t>
      </w:r>
    </w:p>
    <w:p>
      <w:r>
        <w:t xml:space="preserve">gemindert wird. Im übrigen gelten 50 vom Hundert des Vergleichseinkommens als dessen Nettobetrag.</w:t>
      </w:r>
    </w:p>
    <w:p>
      <w:r>
        <w:t xml:space="preserve">(8) Das Nettoeinkommen aus gegenwärtiger oder früherer Erwerbstätigkeit wird pauschal aus dem derzeitigen Bruttoeinkommen ermittelt, indem</w:t>
      </w:r>
    </w:p>
    <w:p>
      <w:pPr>
        <w:ind w:left="420"/>
      </w:pPr>
      <w:r>
        <w:t xml:space="preserve">1. das Bruttoeinkommen aus gegenwärtiger Erwerbstätigkeit um die in Absatz 7 Satz 1 Nr. 1 und 2 genannten Vomhundertsätze gemindert wird,</w:t>
      </w:r>
    </w:p>
    <w:p>
      <w:pPr>
        <w:ind w:left="420"/>
      </w:pPr>
      <w:r>
        <w:t xml:space="preserve">2. Renten aus der gesetzlichen Rentenversicherung sowie Renten wegen Alters, Renten wegen verminderter Erwerbsfähigkeit und Landabgaberenten nach dem Gesetz über die Alterssicherung der Landwirte um den Vomhundertsatz gemindert werden, der für die Bemessung des Beitrags der sozialen Pflegeversicherung (§ 55 des Elften Buches Sozialgesetzbuch) gilt, und um die Hälfte des Vomhundertsatzes des allgemeinen Beitragssatzes der Krankenkassen (§ 241 des Fünften Buches Sozialgesetzbuch); die zum 1. Januar festgestellten Beitragssätze gelten insoweit jeweils vom 1. Juli des laufenden Kalenderjahres bis zum 30. Juni des folgenden Kalenderjahres,</w:t>
      </w:r>
    </w:p>
    <w:p>
      <w:pPr>
        <w:ind w:left="420"/>
      </w:pPr>
      <w:r>
        <w:t xml:space="preserve">3. sonstige Geldleistungen von Leistungsträgern (§ 12 des Ersten Buches Sozialgesetzbuch) mit dem Nettobetrag berücksichtigt werden und</w:t>
      </w:r>
    </w:p>
    <w:p>
      <w:pPr>
        <w:ind w:left="420"/>
      </w:pPr>
      <w:r>
        <w:t xml:space="preserve">4. das übrige Bruttoeinkommen um die in Nummer 2 genannten Vomhundertsätze und zusätzlich um 19 vom Hundert des 562 Euro übersteigenden Betrages gemindert wird; Nummer 2 letzter Halbsatz gilt entsprechend.</w:t>
      </w:r>
    </w:p>
    <w:p>
      <w:r>
        <w:t xml:space="preserve">In den Fällen des Absatzes 11 tritt an die Stelle des Nettoeinkommens im Sinne des Satzes 1 der nach Absatz 7 ermittelte Nettobetrag des Durchschnittseinkommens.</w:t>
      </w:r>
    </w:p>
    <w:p>
      <w:r>
        <w:t xml:space="preserve">(9) Berufsschadensausgleich nach Absatz 6 wird in den Fällen einer Rentenminderung im Sinne des Absatzes 4 Satz 3 nur gezahlt, wenn die Zeiten des Erwerbslebens, in denen das Erwerbseinkommen nicht schädigungsbedingt gemindert war, von einem gesetzlichen oder einem gleichwertigen Alterssicherungssystem erfaßt sind.</w:t>
      </w:r>
    </w:p>
    <w:p>
      <w:r>
        <w:t xml:space="preserve">(10) Der Berufsschadensausgleich wird ausschließlich nach Absatz 6 berechnet, wenn der Antrag erstmalig nach dem 21. Dezember 2007 gestellt wird. Im Übrigen trifft die zuständige Behörde letztmalig zum Stichtag nach Satz 1 die Günstigkeitsfeststellung nach Absatz 3 und legt damit die für die Zukunft anzuwendende Berechnungsart fest.</w:t>
      </w:r>
    </w:p>
    <w:p>
      <w:r>
        <w:t xml:space="preserve">(11) Wird durch nachträgliche schädigungsunabhängige Einwirkungen oder Ereignisse, insbesondere durch das Hinzutreten einer schädigungsunabhängigen Gesundheitsstörung das Bruttoeinkommen aus gegenwärtiger Tätigkeit voraussichtlich auf Dauer gemindert (Nachschaden), gilt statt dessen als Einkommen das Grundgehalt der Besoldungsgruppe der Bundesbesoldungsordnung A, der der oder die Beschädigte ohne den Nachschaden zugeordnet würde; Arbeitslosigkeit oder altersbedingtes Ausscheiden aus dem Erwerbsleben gilt grundsätzlich nicht als Nachschaden. Tritt nach dem Nachschaden ein weiterer schädigungsbedingter Einkommensverlust ein, ist dieses Durchschnittseinkommen entsprechend zu mindern. Scheidet dagegen der oder die Beschädigte schädigungsbedingt aus dem Erwerbsleben aus, wird der Berufsschadensausgleich nach den Absätzen 3 bis 8 errechnet.</w:t>
      </w:r>
    </w:p>
    <w:p>
      <w:r>
        <w:t xml:space="preserve">(12) Rentenberechtigte Beschädigte, die einen gemeinsamen Haushalt mit ihrem Ehegatten oder Lebenspartners, einem Verwandten oder einem Stief- oder Pflegekind führen oder ohne die Schädigung zu führen hätten, erhalten als Berufsschadensausgleich einen Betrag in Höhe der Hälfte der wegen der Folgen der Schädigung notwendigen Mehraufwendungen bei der Führung des gemeinsamen Haushalts.</w:t>
      </w:r>
    </w:p>
    <w:p>
      <w:r>
        <w:t xml:space="preserve">(13) Ist die Grundrente wegen besonderen beruflichen Betroffenseins erhöht worden, so ruht der Anspruch auf Berufsschadensausgleich in Höhe des durch die Erhöhung der Grundrente nach § 31 Abs. 1 Satz 1 erzielten Mehrbetrags. Entsprechendes gilt, wenn die Grundrente nach § 31 Abs. 4 Satz 2 erhöht worden ist.</w:t>
      </w:r>
    </w:p>
    <w:p>
      <w:r>
        <w:t xml:space="preserve">(14) Die Bundesregierung wird ermächtigt, durch Rechtsverordnung mit Zustimmung des Bundesrates zu bestimmen:</w:t>
      </w:r>
    </w:p>
    <w:p>
      <w:pPr>
        <w:ind w:left="420"/>
      </w:pPr>
      <w:r>
        <w:t xml:space="preserve">a) welche Vergleichsgrundlage und in welcher Weise sie zur Ermittlung des Einkommensverlustes heranzuziehen ist,</w:t>
      </w:r>
    </w:p>
    <w:p>
      <w:pPr>
        <w:ind w:left="420"/>
      </w:pPr>
      <w:r>
        <w:t xml:space="preserve">b) wie der Einkommensverlust bei einer vor Abschluß der Schulausbildung oder vor Beginn der Berufsausbildung erlittenen Schädigung zu ermitteln ist,</w:t>
      </w:r>
    </w:p>
    <w:p>
      <w:pPr>
        <w:ind w:left="420"/>
      </w:pPr>
      <w:r>
        <w:t xml:space="preserve">c) wie der Berufsschadensausgleich festzustellen ist, wenn der Beschädigte ohne die Schädigung neben einer beruflichen Tätigkeit weitere berufliche Tätigkeiten ausgeübt oder einen gemeinsamen Haushalt im Sinne des Absatzes 12 geführt hätte,</w:t>
      </w:r>
    </w:p>
    <w:p>
      <w:pPr>
        <w:ind w:left="420"/>
      </w:pPr>
      <w:r>
        <w:t xml:space="preserve">d) was als derzeitiges Bruttoeinkommen oder als Durchschnittseinkommen im Sinne des Absatzes 11 und des § 64c Abs. 2 Satz 2 und 3 gilt und welche Einkünfte bei der Ermittlung des Einkommensverlustes nicht berücksichtigt werden,</w:t>
      </w:r>
    </w:p>
    <w:p>
      <w:pPr>
        <w:ind w:left="420"/>
      </w:pPr>
      <w:r>
        <w:t xml:space="preserve">e) wie in besonderen Fällen das Nettoeinkommen abweichend von Absatz 8 Satz 1 Nr. 3 und 4 zu ermitteln ist.</w:t>
      </w:r>
    </w:p>
    <w:p>
      <w:r>
        <w:t xml:space="preserve">(15) Ist vor dem 1. Juli 1989 bereits über den Anspruch auf Berufsschadensausgleich für die Zeit nach dem Ausscheiden aus dem Erwerbsleben entschieden worden, so verbleibt es hinsichtlich der Frage, ob Absatz 4 Satz 1 oder 3 anzuwenden ist, bei der getroffenen Entscheidung.</w:t>
      </w:r>
    </w:p>
    <w:p>
      <w:r>
        <w:t xml:space="preserve">(16) Das Bundesministerium für Arbeit und Soziales wird ermächtigt, im Einvernehmen mit dem Bundesministerium der Verteidigung und mit Zustimmung des Bundesrates durch Rechtsverordnung die Grundsätze aufzustellen, die für die medizinische Bewertung von Schädigungsfolgen und die Feststellung des Grades der Schädigungsfolgen im Sinne des Absatzes 1 maßgebend sind, sowie die für die Anerkennung einer Gesundheitsstörung nach § 1 Abs. 3 maßgebenden Grundsätze und die Kriterien für die Bewertung der Hilflosigkeit und der Stufen der Pflegezulage nach § 35 Abs. 1 aufzustellen und das Verfahren für deren Ermittlung und Fortentwicklung zu regeln.</w:t>
      </w:r>
    </w:p>
    <w:p>
      <w:r>
        <w:rPr>
          <w:color w:val="555555"/>
          <w:sz w:val="17"/>
        </w:rPr>
        <w:t xml:space="preserve">Zitiervorschlag: § 30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