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27i BVG</w:t>
      </w:r>
    </w:p>
    <w:p>
      <w:r>
        <w:rPr>
          <w:color w:val="555555"/>
          <w:sz w:val="18"/>
        </w:rPr>
        <w:t xml:space="preserve">Bundesversorgungsgesetz</w:t>
      </w:r>
    </w:p>
    <w:p>
      <w:r>
        <w:rPr>
          <w:color w:val="555555"/>
          <w:sz w:val="18"/>
        </w:rPr>
        <w:t xml:space="preserve">Historische Fassung: Stand 10.06.2019 bis 01.01.2024. Dies ist nicht die aktuelle Fassung.</w:t>
      </w:r>
    </w:p>
    <w:p>
      <w:r>
        <w:t xml:space="preserve">Der erstattungsberechtigte Träger der Kriegsopferfürsorge kann die Feststellung einer Sozialleistung betreiben sowie Rechtsmittel einlegen. Der Ablauf der Fristen, die ohne sein Verschulden verstrichen sind, wirkt nicht gegen ihn; dies gilt nicht für die Verfahrensfristen, soweit der Träger der Kriegsopferfürsorge das Verfahren selbst betreibt.</w:t>
      </w:r>
    </w:p>
    <w:p>
      <w:r>
        <w:rPr>
          <w:color w:val="555555"/>
          <w:sz w:val="17"/>
        </w:rPr>
        <w:t xml:space="preserve">Zitiervorschlag: § 27i BVG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https://recht.nulegal.eu/gesetze/BVG/27i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