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27d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10.01.2020 bis 01.01.2024. Dies ist nicht die aktuelle Fassung.</w:t>
      </w:r>
    </w:p>
    <w:p>
      <w:r>
        <w:t xml:space="preserve">(1) Als Hilfen in besonderen Lebenslagen erhalten Beschädigte und Hinterbliebene</w:t>
      </w:r>
    </w:p>
    <w:p>
      <w:pPr>
        <w:ind w:left="420"/>
      </w:pPr>
      <w:r>
        <w:t xml:space="preserve">1. Hilfe zum Aufbau oder zur Sicherung der Lebensgrundlage,</w:t>
      </w:r>
    </w:p>
    <w:p>
      <w:pPr>
        <w:ind w:left="420"/>
      </w:pPr>
      <w:r>
        <w:t xml:space="preserve">2. Hilfen zur Gesundheit,</w:t>
      </w:r>
    </w:p>
    <w:p>
      <w:pPr>
        <w:ind w:left="420"/>
      </w:pPr>
      <w:r>
        <w:t xml:space="preserve">3. Eingliederungshilfe für Menschen mit Behinderungen,</w:t>
      </w:r>
    </w:p>
    <w:p>
      <w:pPr>
        <w:ind w:left="420"/>
      </w:pPr>
      <w:r>
        <w:t xml:space="preserve">4. Blindenhilfe,</w:t>
      </w:r>
    </w:p>
    <w:p>
      <w:pPr>
        <w:ind w:left="420"/>
      </w:pPr>
      <w:r>
        <w:t xml:space="preserve">5. Hilfe zur Überwindung besonderer sozialer Schwierigkeiten.</w:t>
      </w:r>
    </w:p>
    <w:p>
      <w:r>
        <w:t xml:space="preserve">(2) Leistungen können auch in anderen besonderen Lebenslagen erbracht werden, wenn sie den Einsatz öffentlicher Mittel unter Berücksichtigung des Zweckes der Kriegsopferfürsorge rechtfertigen.</w:t>
      </w:r>
    </w:p>
    <w:p>
      <w:r>
        <w:t xml:space="preserve">(3) Für die Eingliederungshilfe für Menschen mit Behinderungen nach Absatz 1 Nummer 3 gilt Teil 2 Kapitel 1 bis 7 des Neunten Buches Sozialgesetzbuch entsprechend, soweit dieses Gesetz nichts Abweichendes bestimmt. Für die übrigen Hilfen in besonderen Lebenslagen nach Absatz 1 gelten die §§ 47, 49 bis 52, das Achte Kapitel und die §§ 72, 74 und 88 Absatz 2 des Zwölften Buches Sozialgesetzbuch entsprechend. Die Leistungen nach Absatz 1 sind unter Berücksichtigung der Lage der Beschädigten oder Hinterbliebenen zu erbringen. Die §§ 10 bis 24a bleiben unberührt. Blindenhilfe kommt nur in Betracht, soweit nicht eine Pflegezulage nach § 35 wegen schädigungsbedingter Blindheit erbracht wird. Erhalten blinde Menschen eine Pflegezulage nach § 35 aus anderen Gründen, wird sie bis zu dem in § 72 Abs. 1 Satz 2 des Zwölften Buches Sozialgesetzbuch genannten Umfang auf die Blindenhilfe angerechnet. Leistungen nach § 43a des Elften Buches Sozialgesetzbuch sowie gleichartige Leistungen nach anderen Vorschriften gehen den Leistungen der Kriegsopferfürsorge vor.</w:t>
      </w:r>
    </w:p>
    <w:p>
      <w:r>
        <w:t xml:space="preserve">(4) Die Absätze 1 bis 3 gelten auch für Hinterbliebene, die wegen Behinderung der Hilfe bedürfen.</w:t>
      </w:r>
    </w:p>
    <w:p>
      <w:r>
        <w:t xml:space="preserve">(5) Für den Einsatz von Einkommen und Vermögen bei der Erbringung der Leistungen der Eingliederungshilfe für Menschen mit Behinderungen gelten anstelle des § 25c Absatz 1 und 2 sowie der §§ 25d bis 25f die Bestimmungen von Teil 2 Kapitel 9 des Neunten Buches Sozialgesetzbuch. Abweichend von § 136 Absatz 2 des Neunten Buches Sozialgesetzbuch ist ein Beitrag zu den Aufwendungen aufzubringen, wenn das Einkommen nach § 135 des Neunten Buches Sozialgesetzbuch überwiegend</w:t>
      </w:r>
    </w:p>
    <w:p>
      <w:pPr>
        <w:ind w:left="420"/>
      </w:pPr>
      <w:r>
        <w:t xml:space="preserve">1. aus einer sozialversicherungspflichtigen Beschäftigung oder aus einer selbständigen Tätigkeit erzielt wird und 100 Prozent der jährlichen Bezugsgröße nach § 18 Absatz 1 des Vierten Buches Sozialgesetzbuch übersteigt,</w:t>
      </w:r>
    </w:p>
    <w:p>
      <w:pPr>
        <w:ind w:left="420"/>
      </w:pPr>
      <w:r>
        <w:t xml:space="preserve">2. aus einer nicht sozialversicherungspflichtigen Beschäftigung erzielt wird und 90 Prozent der jährlichen Bezugsgröße nach § 18 Absatz 1 des Vierten Buches Sozialgesetzbuch übersteigt oder</w:t>
      </w:r>
    </w:p>
    <w:p>
      <w:pPr>
        <w:ind w:left="420"/>
      </w:pPr>
      <w:r>
        <w:t xml:space="preserve">3. aus Renteneinkünften erzielt wird und 75 Prozent der jährlichen Bezugsgröße nach § 18 Absatz 1 des Vierten Buches Sozialgesetzbuch übersteigt.</w:t>
      </w:r>
    </w:p>
    <w:p>
      <w:r>
        <w:t xml:space="preserve">Für den Einsatz von Vermögen gilt § 25c Absatz 3 entsprechend.</w:t>
      </w:r>
    </w:p>
    <w:p>
      <w:r>
        <w:t xml:space="preserve">(6) Bei der Festsetzung der Einkommensgrenze tritt bei der Blindenhilfe nach § 72 des Zwölften Buches Sozialgesetzbuch an die Stelle des Grundbetrages nach § 25e Absatz 1 Nummer 1 ein Grundbetrag in Höhe von 8,5 Prozent des Bemessungsbetrages. Der Familienzuschlag beträgt 40 Prozent des Grundbetrages nach § 25e Absatz 1 Nummer 1. Für den nicht getrennt lebenden Ehegatten oder Lebenspartner beträgt der Familienzuschlag 2,13 Prozent des Bemessungsbetrages, wenn beide Ehegatten oder Lebenspartner blind sind oder die Voraussetzungen des § 72 Absatz 5 des Zwölften Buches Sozialgesetzbuch erfüllen oder so schwer behindert sind, dass sie als Beschädigte die Pflegezulage nach den Stufen III bis VI nach § 35 Absatz 1 Satz 4 erhielten.</w:t>
      </w:r>
    </w:p>
    <w:p>
      <w:r>
        <w:t xml:space="preserve">(7) Für den Einsatz von Einkommen bei der Erbringung der Leistungen der Eingliederungshilfe für Menschen mit Behinderungen gilt § 150 des Neunten Buches Sozialgesetzbuch entsprechend.</w:t>
      </w:r>
    </w:p>
    <w:p>
      <w:r>
        <w:rPr>
          <w:color w:val="555555"/>
          <w:sz w:val="17"/>
        </w:rPr>
        <w:t xml:space="preserve">Zitiervorschlag: § 27d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