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Krankenhilfe erhalten Beschädigte und Hinterbliebene in Ergänzung der Leistungen der Heil- und Krankenbehandlung nach diesem Gesetz. Die §§ 10 bis 24a bleiben unberührt.</w:t>
      </w:r>
    </w:p>
    <w:p>
      <w:r>
        <w:t xml:space="preserve">(2) Die Krankenhilfe umfaßt ärztliche und zahnärztliche Behandlung, Versorgung mit Arzneimitteln, Verbandmitteln und Zahnersatz, Krankenhausbehandlung sowie sonstige zur Genesung, zur Besserung oder zur Linderung der Krankheitsfolgen erforderliche Leistungen. Die Leistungen sollen in der Regel den Leistungen entsprechen, die nach den Vorschriften über die gesetzliche Krankenversicherung gewährt werden.</w:t>
      </w:r>
    </w:p>
    <w:p>
      <w:r>
        <w:t xml:space="preserve">(3) Ärzte und Zahnärzte haben für ihre Leistungen Anspruch auf die Vergütung, welche die Ortskrankenkasse, in deren Bereich der Arzt oder der Zahnarzt niedergelassen ist, für ihre Mitglieder zahlt. Der Kranke hat die freie Wahl unter den Ärzten und Zahnärzten, die sich zur ärztlichen oder zahnärztlichen Behandlung im Rahmen der Krankenhilfe zu der in Satz 1 genannten Vergütung bereit erklären.</w:t>
      </w:r>
    </w:p>
    <w:p>
      <w:r>
        <w:t xml:space="preserve">(4) Nachdem die Krankheit während eines zusammenhängenden Zeitraums von drei Monaten entweder dauerndes Krankenlager oder wegen ihrer besonderen Schwere ständige ärztliche Betreuung erfordert hat, ist bei der Festsetzung der Einkommensgrenze § 27d Abs. 5 Satz 1 Nr. 1 entsprechend anzuwenden.</w:t>
      </w:r>
    </w:p>
    <w:p>
      <w:r>
        <w:rPr>
          <w:color w:val="555555"/>
          <w:sz w:val="17"/>
        </w:rPr>
        <w:t xml:space="preserve">Zitiervorschlag: § 26b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