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Der Anspruch auf Übergangsgeld sowie die Höhe und Berechnung bestimmen sich nach Teil 1 Kapitel 11 des Neunten Buches Sozialgesetzbuch; im Übrigen gelten für die Berechnung des Übergangsgelds die §§ 16a, 16b und 16f entsprechend.</w:t>
      </w:r>
    </w:p>
    <w:p>
      <w:r>
        <w:t xml:space="preserve">(2) Hat der Beschädigte Einkünfte im Sinne von § 16b Abs. 1 erzielt und unmittelbar vor Beginn der Leistung zur Teilhabe am Arbeitsleben kein Versorgungskrankengeld, Krankengeld, Verletztengeld oder Übergangsgeld bezogen, so gilt für die Berechnung des Übergangsgelds § 16b Abs. 2 bis 4 und Abs. 6 entsprechend. Bei Beschädigten, die Versorgung auf Grund einer Wehrdienstbeschädigung oder einer Zivildienstbeschädigung erhalten, sind der Berechnung des Regelentgelts die vor der Beendigung des Wehrdienstes bezogenen Einkünfte (Geld- und Sachbezüge) als Soldat, für Soldaten, die Wehrsold bezogen haben, und für Zivildienstleistende, zehn Achtel der vor der Beendigung des Wehrdienstes oder Zivildienstes bezogenen Einkünfte (Geld- und Sachbezüge) als Soldat oder Zivildienstleistender zugrunde zu legen, wenn</w:t>
      </w:r>
    </w:p>
    <w:p>
      <w:pPr>
        <w:ind w:left="420"/>
      </w:pPr>
      <w:r>
        <w:t xml:space="preserve">a) der Beschädigte vor Beginn des Wehrdienstes oder Zivildienstes kein Arbeitseinkommen erzielt hat oder</w:t>
      </w:r>
    </w:p>
    <w:p>
      <w:pPr>
        <w:ind w:left="420"/>
      </w:pPr>
      <w:r>
        <w:t xml:space="preserve">b) das nach § 66 Absatz 1 Satz 1 oder § 67 Absatz 1 des Neunten Buches Sozialgesetzbuch oder nach Absatz 2 Satz 1 zu berücksichtigende Entgelt niedriger ist.</w:t>
      </w:r>
    </w:p>
    <w:p>
      <w:r>
        <w:t xml:space="preserve">(3) Beschädigte, die vor Beginn der Leistung zur Teilhabe am Arbeitsleben beruflich nicht tätig gewesen sind, erhalten anstelle des Übergangsgelds eine Unterhaltsbeihilfe; das gilt nicht für Beschädigte im Sinne des Absatzes 2 Satz 2. Für die Bemessung der Unterhaltsbeihilfe sind die Vorschriften über Leistungen für den Lebensunterhalt bei Gewährung von Erziehungsbeihilfe entsprechend anzuwenden; § 25d Abs. 2 gilt nicht bei volljährigen Beschädigten. Bei Unterbringung von Beschädigten in einer Rehabilitationseinrichtung ist der Berechnung der Unterhaltsbeihilfe lediglich ein angemessener Betrag zur Abgeltung zusätzlicher weiterer Bedürfnisse und Aufwendungen aus weiterlaufenden unabweislichen Verpflichtungen zugrunde zu legen.</w:t>
      </w:r>
    </w:p>
    <w:p>
      <w:r>
        <w:t xml:space="preserve">(4) Kommen neben Leistungen nach § 26 weitere Hilfen der Kriegsopferfürsorge in Betracht, gelten Übergangsgeld und Unterhaltsbeihilfe als Einkommen.</w:t>
      </w:r>
    </w:p>
    <w:p>
      <w:r>
        <w:rPr>
          <w:color w:val="555555"/>
          <w:sz w:val="17"/>
        </w:rPr>
        <w:t xml:space="preserve">Zitiervorschlag: § 26a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