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BVG</w:t>
      </w:r>
    </w:p>
    <w:p>
      <w:r>
        <w:rPr>
          <w:color w:val="555555"/>
          <w:sz w:val="18"/>
        </w:rPr>
        <w:t xml:space="preserve">Bundesversorgungsgesetz</w:t>
      </w:r>
    </w:p>
    <w:p>
      <w:r>
        <w:rPr>
          <w:color w:val="555555"/>
          <w:sz w:val="18"/>
        </w:rPr>
        <w:t xml:space="preserve">Historische Fassung: Stand 10.01.2020 bis 01.01.2024. Dies ist nicht die aktuelle Fassung.</w:t>
      </w:r>
    </w:p>
    <w:p>
      <w:r>
        <w:t xml:space="preserve">(1) Beschädigte erhalten Leistungen zur Teilhabe am Arbeitsleben nach den §§ 49 bis 55 des Neunten Buches Sozialgesetzbuch sowie Leistungen im Eingangsverfahren und im Berufsbildungsbereich der Werkstätten für behinderte Menschen nach § 57 des Neunten Buches Sozialgesetzbuch und entsprechende Leistungen bei anderen Leistungsanbietern nach § 60 des Neunten Buches Sozialgesetzbuch sowie als Budget für Ausbildung nach § 61a des Neunten Buches Sozialgesetzbuch.</w:t>
      </w:r>
    </w:p>
    <w:p>
      <w:r>
        <w:t xml:space="preserve">(2) Bei Unterbringung von Beschädigten in einer Einrichtung der beruflichen Rehabilitation werden dort entstehende Aufwendungen vom Träger der Kriegsopferfürsorge als Sachleistungen getragen.</w:t>
      </w:r>
    </w:p>
    <w:p>
      <w:r>
        <w:t xml:space="preserve">(3) Zu den Leistungen zur Teilhabe am Arbeitsleben gehören auch Hilfen zur Gründung und Erhaltung einer selbständigen Existenz; Geldleistungen hierfür sollen in der Regel als Darlehen erbracht werden.</w:t>
      </w:r>
    </w:p>
    <w:p>
      <w:r>
        <w:t xml:space="preserve">(4) Die Leistungen nach Absatz 1 werden ergänzt durch:</w:t>
      </w:r>
    </w:p>
    <w:p>
      <w:pPr>
        <w:ind w:left="420"/>
      </w:pPr>
      <w:r>
        <w:t xml:space="preserve">1. Übergangsgeld und Unterhaltsbeihilfe nach Maßgabe des § 26a,</w:t>
      </w:r>
    </w:p>
    <w:p>
      <w:pPr>
        <w:ind w:left="420"/>
      </w:pPr>
      <w:r>
        <w:t xml:space="preserve">2. Entrichtung von Beiträgen zur gesetzlichen Rentenversicherung für Zeiten des Bezuges von Übergangsgeld unter Beachtung des § 70 des Neunten Buches Sozialgesetzbuch, Erstattung der Aufwendungen zur Alterssicherung von nicht rentenversicherungspflichtigen Beschädigten für freiwillige Beiträge zur gesetzlichen Rentenversicherung, für Beiträge zu öffentlich-rechtlichen berufsständischen Versicherungs- und Versorgungseinrichtungen und zu öffentlichen oder privaten Versicherungsunternehmen auf Grund von Lebensversicherungsverträgen bis zur Höhe der Beiträge, die zur gesetzlichen Rentenversicherung für Zeiten des Bezuges von Übergangsgeld zu entrichten wären,</w:t>
      </w:r>
    </w:p>
    <w:p>
      <w:pPr>
        <w:ind w:left="420"/>
      </w:pPr>
      <w:r>
        <w:t xml:space="preserve">3. Haushaltshilfe nach § 74 des Neunten Buches Sozialgesetzbuch,</w:t>
      </w:r>
    </w:p>
    <w:p>
      <w:pPr>
        <w:ind w:left="420"/>
      </w:pPr>
      <w:r>
        <w:t xml:space="preserve">4. sonstige Leistungen, die unter Berücksichtigung von Art und Schwere der Schädigung erforderlich sind, um das Ziel der Rehabilitation zu erreichen oder zu sichern,</w:t>
      </w:r>
    </w:p>
    <w:p>
      <w:pPr>
        <w:ind w:left="420"/>
      </w:pPr>
      <w:r>
        <w:t xml:space="preserve">5. Reisekosten nach § 73 des Neunten Buches Sozialgesetzbuch.</w:t>
      </w:r>
    </w:p>
    <w:p>
      <w:r>
        <w:t xml:space="preserve">(5) Soweit nach Absatz 1 oder Absatz 4 Nr. 4 Leistungen zum Erreichen des Arbeitsplatzes oder des Ortes einer Leistung zur Teilhabe am Arbeitsleben, insbesondere Hilfen zur Beschaffung und Unterhaltung eines Kraftfahrzeugs in Betracht kommen, kann zur Angleichung dieser Leistungen im Rahmen einer Rechtsverordnung nach § 27f der Einsatz von Einkommen abweichend von § 25e Abs. 1 und 2 sowie § 27d Abs. 5 bestimmt und von Einsatz und Verwertung von Vermögen ganz oder teilweise abgesehen werden. Im Übrigen ist bei den Leistungen zur Teilhabe am Arbeitsleben und den sie ergänzenden Leistungen mit Ausnahme der sonstigen Hilfen nach Absatz 4 Nr. 4 Einkommen und Vermögen nicht zu berücksichtigen; § 26a bleibt unberührt.</w:t>
      </w:r>
    </w:p>
    <w:p>
      <w:r>
        <w:t xml:space="preserve">(6) Witwen, Witwer oder hinterbliebene Lebenspartner, die zur Erhaltung einer angemessenen Lebensstellung erwerbstätig sein wollen, sind in begründeten Fällen Leistungen in sinngemäßer Anwendung der Absätze 1 bis 5 mit Ausnahme des Absatzes 4 Nr. 4 zu erbringen.</w:t>
      </w:r>
    </w:p>
    <w:p>
      <w:r>
        <w:rPr>
          <w:color w:val="555555"/>
          <w:sz w:val="17"/>
        </w:rPr>
        <w:t xml:space="preserve">Zitiervorschlag: § 26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