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25c BVG</w:t>
      </w:r>
    </w:p>
    <w:p>
      <w:r>
        <w:rPr>
          <w:color w:val="555555"/>
          <w:sz w:val="18"/>
        </w:rPr>
        <w:t xml:space="preserve">Bundesversorgungsgesetz</w:t>
      </w:r>
    </w:p>
    <w:p>
      <w:r>
        <w:rPr>
          <w:color w:val="555555"/>
          <w:sz w:val="18"/>
        </w:rPr>
        <w:t xml:space="preserve">Historische Fassung: Stand 10.12.2019 bis 01.01.2024. Dies ist nicht die aktuelle Fassung.</w:t>
      </w:r>
    </w:p>
    <w:p>
      <w:r>
        <w:t xml:space="preserve">(1) Die Höhe der Geldleistungen bemißt sich nach dem Unterschied zwischen dem anzuerkennenden Bedarf und dem einzusetzenden Einkommen und Vermögen; § 26 Abs. 5 und § 26a bleiben unberührt. Darüber hinaus können in begründeten Fällen Geldleistungen auch insoweit erbracht werden, als zur Deckung des Bedarfs Einkommen oder Vermögen der Leistungsberechtigten einzusetzen oder zu verwerten ist; in diesem Umfang haben sie dem Träger der Kriegsopferfürsorge die Aufwendungen zu erstatten.</w:t>
      </w:r>
    </w:p>
    <w:p>
      <w:r>
        <w:t xml:space="preserve">(2) Kommt eine Sachleistung in Betracht, haben Leistungsberechtigte den Aufwand für die Sachleistung in Höhe des einzusetzenden Einkommens und Vermögens zu tragen.</w:t>
      </w:r>
    </w:p>
    <w:p>
      <w:r>
        <w:t xml:space="preserve">(3) Einkommen ist insoweit nicht einzusetzen, als der Einsatz des Einkommens im Einzelfall bei Berücksichtigung der besonderen Lage der Beschädigten oder Hinterbliebenen vor allem nach Art und Schädigungsnähe des Bedarfs, Dauer und Höhe der erforderlichen Aufwendungen sowie nach der besonderen Belastung der Leistungsberechtigten und ihrer unterhaltsberechtigten Angehörigen unbillig wäre. Bei ausschließlich schädigungsbedingtem Bedarf ist Einkommen nicht einzusetzen. In den Fällen der Eingliederungshilfe in Einrichtungen oder Räumlichkeiten im Sinne des § 43a des Elften Buches Sozialgesetzbuch in Verbindung mit § 71 Absatz 4 Nummer 1 oder Nummer 3 des Elften Buches Sozialgesetzbuch gilt Satz 2 nur für die Vergütung der Leistungen der Eingliederungshilfe im Sinne des § 125 Absatz 1 Nummer 2 in Verbindung mit Absatz 2 Satz 1 Nummer 1 bis 5 des Neunten Buches Sozialgesetzbuch. Die Pflegezulage nach § 35 ist bis zur Höhe der Maßnahmepauschale im Sinne des § 76 Absatz 3 Satz 1 Nummer 2 des Zwölften Buches Sozialgesetzbuch bedarfsmindernd zu berücksichtigen.</w:t>
      </w:r>
    </w:p>
    <w:p>
      <w:r>
        <w:t xml:space="preserve">(4) (weggefallen)</w:t>
      </w:r>
    </w:p>
    <w:p>
      <w:r>
        <w:rPr>
          <w:color w:val="555555"/>
          <w:sz w:val="17"/>
        </w:rPr>
        <w:t xml:space="preserve">Zitiervorschlag: § 25c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https://recht.nulegal.eu/gesetze/BVG/25c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