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Berechtigte haben Anspruch auf Übernahme der Reisekosten, die im Zusammenhang mit einer Leistung der Heil- oder Krankenbehandlung sowie bei einer Badekur entstehen. Den Berechtigten werden für sich, eine notwendige Begleitung sowie für Kinder, deren Mitnahme an den Rehabilitationsort erforderlich ist, weil ihre anderweitige Betreuung nicht sichergestellt ist, die notwendigen Reisekosten einschließlich des erforderlichen Gepäcktransports sowie der Kosten für Verpflegung und Unterkunft in angemessenem Umfang ersetzt. Dauert die Maßnahme länger als acht Wochen, so können auch die notwendigen Reisekosten für Familienheimfahrten oder für Fahrten eines Familienangehörigen zum Aufenthaltsort des Berechtigten oder Leistungsempfängers übernommen werden. Wird eine stationäre Behandlung ohne zwingenden Grund abgebrochen, besteht kein Anspruch auf Ersatz der Reisekosten.</w:t>
      </w:r>
    </w:p>
    <w:p>
      <w:r>
        <w:t xml:space="preserve">(2) Ersatz für entgangenen Arbeitsverdienst wird in angemessenem Umfang gewährt</w:t>
      </w:r>
    </w:p>
    <w:p>
      <w:pPr>
        <w:ind w:left="420"/>
      </w:pPr>
      <w:r>
        <w:t xml:space="preserve">a) bei der Anpassung und der Instandsetzung von Hilfsmitteln,</w:t>
      </w:r>
    </w:p>
    <w:p>
      <w:pPr>
        <w:ind w:left="420"/>
      </w:pPr>
      <w:r>
        <w:t xml:space="preserve">b) bei notwendiger Begleitung, wenn der Berechtigte der Begleitperson zur Erstattung verpflichtet ist.</w:t>
      </w:r>
    </w:p>
    <w:p>
      <w:r>
        <w:t xml:space="preserve">Satz 1 Buchstabe b gilt auch im Zusammenhang mit Leistungen, die die Krankenkasse zur Behandlung von Schädigungsfolgen erbringt.</w:t>
      </w:r>
    </w:p>
    <w:p>
      <w:r>
        <w:t xml:space="preserve">(3) Ist ohne behördliche Zustimmung ein Hilfsmittel (§ 13 Abs. 1) angepaßt, geändert oder ausgebessert worden, so werden Ersatz der baren Auslagen und Entschädigung für entgangenen Arbeitsverdienst in angemessenem Umfang gewährt, wenn die Notwendigkeit der Maßnahme anerkannt wird.</w:t>
      </w:r>
    </w:p>
    <w:p>
      <w:r>
        <w:rPr>
          <w:color w:val="555555"/>
          <w:sz w:val="17"/>
        </w:rPr>
        <w:t xml:space="preserve">Zitiervorschlag: § 24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