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BVG</w:t>
      </w:r>
    </w:p>
    <w:p>
      <w:r>
        <w:rPr>
          <w:color w:val="555555"/>
          <w:sz w:val="18"/>
        </w:rPr>
        <w:t xml:space="preserve">Bundesversorgungsgesetz</w:t>
      </w:r>
    </w:p>
    <w:p>
      <w:r>
        <w:rPr>
          <w:color w:val="555555"/>
          <w:sz w:val="18"/>
        </w:rPr>
        <w:t xml:space="preserve">Historische Fassung: Stand 10.06.2019 bis 01.01.2024. Dies ist nicht die aktuelle Fassung.</w:t>
      </w:r>
    </w:p>
    <w:p>
      <w:r>
        <w:t xml:space="preserve">(1) Die Leistungen nach den §§ 10 bis 24a werden als Sachleistungen erbracht, soweit sich aus diesem Gesetz oder dem Neunten Buch Sozialgesetzbuch nichts anderes ergibt. Sachleistungen sind Berechtigten und Leistungsempfängern ohne Beteiligung an den Kosten zu gewähren. Dasselbe gilt für den Ersatz der Fahrkosten im Rahmen der Heil- und Krankenbehandlung durch die Krankenkassen.</w:t>
      </w:r>
    </w:p>
    <w:p>
      <w:r>
        <w:t xml:space="preserve">(2) Bei der Versorgung mit Zahnersatz (§ 11 Abs. 1 Satz 1 Nr. 4) oder mit Hilfsmitteln (§ 11 Abs. 1 Satz 1 Nr. 8, § 12 Abs. 1 Satz 1) dürfen Sachleistungen auf Antrag in Umfang, Material oder Ausführung über das Maß des Notwendigen hinaus erbracht werden, wenn auch dadurch der Versorgungszweck erreicht wird und der Berechtigte oder Leistungsempfänger die Mehrkosten übernimmt. Das Gleiche gilt für Zahnfüllungen. Führt eine Mehrleistung nach Satz 1 oder 2 bei Folgeleistungen zu Mehrkosten, hat diese der Berechtigte oder Leistungsempfänger zu übernehmen.</w:t>
      </w:r>
    </w:p>
    <w:p>
      <w:r>
        <w:t xml:space="preserve">(3) Hat der Berechtigte eine Heilbehandlung, Krankenbehandlung oder Badekur vor der Anerkennung selbst durchgeführt, so sind die Kosten für die notwendige Behandlung in angemessenem Umfang zu erstatten. Dies gilt auch, wenn eine Anerkennung nicht möglich ist, weil nach Abschluß der Heilbehandlung keine Gesundheitsstörung zurückgeblieben ist, oder wenn ein Beschädigter die Heilbehandlung vor der Anmeldung des Versorgungsanspruchs in dem Zeitraum durchgeführt hat, für den ihm Beschädigtenversorgung gewährt werden kann oder wenn ein Beschädigter durch Umstände, die außerhalb seines Willens lagen, an der Anmeldung vor Beginn der Behandlung gehindert war.</w:t>
      </w:r>
    </w:p>
    <w:p>
      <w:r>
        <w:t xml:space="preserve">(4) Hat der Berechtigte eine Heil- oder Krankenbehandlung nach der Anerkennung selbst durchgeführt, so sind die Kosten in angemessenem Umfang zu erstatten, wenn unvermeidbare Umstände die Inanspruchnahme der Krankenkasse (§ 18c Abs. 2 Satz 1) oder der Verwaltungsbehörde (§ 18c Abs. 1 Satz 2) unmöglich machten. Das gilt für Versorgungsberechtigte, die Mitglied einer Krankenkasse sind, jedoch nur, wenn die Kasse nicht zur Leistung verpflichtet ist, sowie hinsichtlich der Leistungen, die nach § 18c Abs. 1 Satz 2 von der Verwaltungsbehörde zu gewähren sind. Hat der Berechtigte oder Leistungsempfänger nach Wegfall des Anspruchs auf Heil- oder Krankenbehandlung eine Krankenversicherung abgeschlossen oder ist er einer Krankenkasse beigetreten, so werden ihm die Aufwendungen für die Versicherung in angemessenem Umfang ersetzt, wenn der Anspruch auf Heil- oder Krankenbehandlung im Vorverfahren oder im gerichtlichen Verfahren rechtsverbindlich rückwirkend wieder zuerkannt wird. Kosten für eine selbst durchgeführte Badekur werden nicht erstattet.</w:t>
      </w:r>
    </w:p>
    <w:p>
      <w:r>
        <w:t xml:space="preserve">(5) Wird dem Berechtigten Kostenersatz nach Absatz 3 oder 4 gewährt, besteht auch Anspruch auf Versorgungskrankengeld.</w:t>
      </w:r>
    </w:p>
    <w:p>
      <w:r>
        <w:t xml:space="preserve">(6) Anstelle der Leistung nach § 11 Abs. 1 Satz 1 Nr. 4 kann dem Beschädigten für die Beschaffung eines Zahnersatzes wegen Schädigungsfolgen ein Zuschuß in angemessener Höhe gewährt werden, wenn er wegen des Verlustes weiterer Zähne, für den kein Anspruch auf Heilbehandlung nach diesem Gesetz besteht, einen erweiterten Zahnersatz anfertigen läßt. Die Verwaltungsbehörde kann den Zuschuß unmittelbar an den Zahnarzt zahlen.</w:t>
      </w:r>
    </w:p>
    <w:p>
      <w:r>
        <w:t xml:space="preserve">(7) In besonderen Fällen können bei der stationären Behandlung eines Beschädigten auch die Kosten für Leistungen übernommen werden, die über die allgemeinen Krankenhausleistungen hinausgehen, wenn es nach den Umständen, insbesondere im Hinblick auf die anerkannten Schädigungsfolgen erforderlich erscheint.</w:t>
      </w:r>
    </w:p>
    <w:p>
      <w:r>
        <w:t xml:space="preserve">(8) Stirbt der Berechtigte, so können den Erben die Kosten der letzten Krankheit in angemessenem Umfang erstattet werden.</w:t>
      </w:r>
    </w:p>
    <w:p>
      <w:r>
        <w:rPr>
          <w:color w:val="555555"/>
          <w:sz w:val="17"/>
        </w:rPr>
        <w:t xml:space="preserve">Zitiervorschlag: § 18 BVG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