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16f BVG</w:t>
      </w:r>
    </w:p>
    <w:p>
      <w:r>
        <w:rPr>
          <w:color w:val="555555"/>
          <w:sz w:val="18"/>
        </w:rPr>
        <w:t xml:space="preserve">Bundesversorgungsgesetz</w:t>
      </w:r>
    </w:p>
    <w:p>
      <w:r>
        <w:rPr>
          <w:color w:val="555555"/>
          <w:sz w:val="18"/>
        </w:rPr>
        <w:t xml:space="preserve">Historische Fassung: Stand 10.06.2019 bis 01.01.2024. Dies ist nicht die aktuelle Fassung.</w:t>
      </w:r>
    </w:p>
    <w:p>
      <w:r>
        <w:t xml:space="preserve">(1) Erhält der Berechtigte während des Bezugs von Versorgungskrankengeld Arbeitsentgelt, so ist das Versorgungskrankengeld um das um die gesetzlichen Abzüge verminderte Arbeitsentgelt zu kürzen; einmalig gezahltes Arbeitsentgelt sowie Leistungen des Arbeitgebers zum Versorgungskrankengeld, soweit sie zusammen mit dem Versorgungskrankengeld das vor der Arbeitsunfähigkeit erzielte, um die gesetzlichen Abzüge verminderte Arbeitsentgelt nicht übersteigen, bleiben außer Ansatz. Erzielt der Berechtigte während des Bezugs von Versorgungskrankengeld Einkünfte aus Land- und Forstwirtschaft, aus Gewerbebetrieb oder aus selbständiger Arbeit, so ist das Versorgungskrankengeld um 80 vom Hundert der als Regelentgelt geltenden Beträge zu kürzen.</w:t>
      </w:r>
    </w:p>
    <w:p>
      <w:r>
        <w:t xml:space="preserve">(2) Erhält der Berechtigte durch eine Tätigkeit während des Bezugs von Versorgungskrankengeld Arbeitseinkommen, so ist das Versorgungskrankengeld um 80 vom Hundert des erzielten Arbeitseinkommens zu kürzen.</w:t>
      </w:r>
    </w:p>
    <w:p>
      <w:r>
        <w:t xml:space="preserve">(3) Das Versorgungskrankengeld ist ferner zu kürzen um den um gesetzliche Abzüge verminderten Betrag von</w:t>
      </w:r>
    </w:p>
    <w:p>
      <w:pPr>
        <w:ind w:left="420"/>
      </w:pPr>
      <w:r>
        <w:t xml:space="preserve">1. Geldleistungen, die eine öffentlich-rechtliche Stelle im Zusammenhang mit der Heil- und Krankenbehandlung oder Badekur gewährt,</w:t>
      </w:r>
    </w:p>
    <w:p>
      <w:pPr>
        <w:ind w:left="420"/>
      </w:pPr>
      <w:r>
        <w:t xml:space="preserve">2. Renten, wenn dem Versorgungskrankengeld ein vor Beginn der Rentengewährung erzieltes Arbeitsentgelt oder Arbeitseinkommen zugrunde liegt,</w:t>
      </w:r>
    </w:p>
    <w:p>
      <w:pPr>
        <w:ind w:left="420"/>
      </w:pPr>
      <w:r>
        <w:t xml:space="preserve">3. Renten, die aus demselben Anlaß wie die Maßnahmen zur Rehabilitation gewährt werden, wenn durch die Anrechnung eine unbillige Doppelleistung vermieden wird.</w:t>
      </w:r>
    </w:p>
    <w:p>
      <w:r>
        <w:t xml:space="preserve">(4) Macht der Berechtigte Ansprüche auf Leistungen einer öffentlich-rechtlichen Stelle nicht geltend, so ist der ihm dadurch entgehende Betrag anzurechnen; das gilt nicht, soweit die Ansprüche nicht zu verwirklichen sind oder aus Unkenntnis oder aus einem verständigen Grund nicht geltend gemacht worden sind oder geltend gemacht werden.</w:t>
      </w:r>
    </w:p>
    <w:p>
      <w:r>
        <w:t xml:space="preserve">(5) § 71b findet entsprechende Anwendung.</w:t>
      </w:r>
    </w:p>
    <w:p>
      <w:r>
        <w:rPr>
          <w:color w:val="555555"/>
          <w:sz w:val="17"/>
        </w:rPr>
        <w:t xml:space="preserve">Zitiervorschlag: § 16f BVG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https://recht.nulegal.eu/gesetze/BVG/16f</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