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16e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Sind nach Abschluß der Heil- oder Krankenbehandlung oder einer Badekur Leistungen zur Teilhabe am Arbeitsleben erforderlich und können diese aus Gründen, die der Berechtigte nicht zu vertreten hat, nicht unmittelbar anschließend durchgeführt werden, so ist das Versorgungskrankengeld für diese Zeit weiterzugewähren, wenn der Berechtigte arbeitsunfähig ist und ihm ein Anspruch auf Krankengeld nicht zusteht oder wenn ihm eine zumutbare Beschäftigung nicht vermittelt werden kann.</w:t>
      </w:r>
    </w:p>
    <w:p>
      <w:r>
        <w:rPr>
          <w:color w:val="555555"/>
          <w:sz w:val="17"/>
        </w:rPr>
        <w:t xml:space="preserve">Zitiervorschlag: § 16e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https://recht.nulegal.eu/gesetze/BVG/16e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