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BVG</w:t>
      </w:r>
    </w:p>
    <w:p>
      <w:r>
        <w:rPr>
          <w:color w:val="555555"/>
          <w:sz w:val="18"/>
        </w:rPr>
        <w:t xml:space="preserve">Bundesversorgungsgesetz</w:t>
      </w:r>
    </w:p>
    <w:p>
      <w:r>
        <w:rPr>
          <w:color w:val="555555"/>
          <w:sz w:val="18"/>
        </w:rPr>
        <w:t xml:space="preserve">Historische Fassung: Stand 02.07.2019 bis 01.01.2024. Dies ist nicht die aktuelle Fassung.</w:t>
      </w:r>
    </w:p>
    <w:p>
      <w:r>
        <w:t xml:space="preserve">(1) Das Versorgungskrankengeld beträgt 80 vom Hundert des erzielten regelmäßigen Entgelts (Regelentgelt) und darf das entgangene regelmäßige Nettoarbeitsentgelt nicht übersteigen. Das Regelentgelt wird nach den Absätzen 2 und 3 berechnet. Das Versorgungskrankengeld wird für Kalendertage gezahlt. Ist es für einen ganzen Kalendermonat zu zahlen, so ist dieser mit 30 Tagen anzusetzen.</w:t>
      </w:r>
    </w:p>
    <w:p>
      <w:r>
        <w:t xml:space="preserve">(2) Für die Berechnung des Regelentgelts ist bei Berechtigten, die bis zum Beginn der Arbeitsunfähigkeit gegen Entgelt beschäftigt waren, das von dem Berechtigten im letzten vor Beginn der Arbeitsunfähigkeit abgerechneten Entgeltabrechnungszeitraum, mindestens während der letzten abgerechneten vier Wochen (Bemessungszeitraum) erzielte und um einmalig gezahltes Arbeitsentgelt verminderte Entgelt durch die Zahl der Stunden zu teilen, für die es gezahlt wurde. Das Ergebnis ist mit der Zahl der sich aus dem Inhalt des Arbeitsverhältnisses ergebenden regelmäßigen wöchentlichen Arbeitsstunden zu vervielfachen und durch sieben zu teilen. Ist das Entgelt nach Monaten bemessen oder ist eine Berechnung des Regelentgelts nach den Sätzen 1 und 2 nicht möglich, so gilt der 30. Teil des in dem letzten vor Beginn der Maßnahme abgerechneten Kalendermonat erzielten und um einmalig gezahltes Arbeitsentgelt verminderten Entgelts als Regelentgelt. Wenn mit einer Arbeitsleistung Arbeitsentgelt erzielt wird, das für Zeiten einer Freistellung vor oder nach dieser Arbeitsleistung fällig wird (Wertguthaben nach § 7b des Vierten Buches Sozialgesetzbuch), ist für die Berechnung des Regelentgelts das im Bemessungszeitraum der Beitragsberechnung zugrundeliegende und um einmalig gezahltes Arbeitsentgelt verminderte Arbeitsentgelt maßgebend; Wertguthaben, die nicht gemäß einer Vereinbarung über flexible Arbeitszeitregelungen verwendet werden (§ 23b Abs. 2 des Vierten Buches Sozialgesetzbuch), bleiben außer Betracht. Bei der Anwendung des Satzes 1 gilt als regelmäßige wöchentliche Arbeitszeit die Arbeitszeit, die dem gezahlten Arbeitsentgelt entspricht.</w:t>
      </w:r>
    </w:p>
    <w:p>
      <w:r>
        <w:t xml:space="preserve">(3) Das Regelentgelt wird bis zur Höhe der jeweils geltenden Leistungsbemessungsgrenze berücksichtigt. Leistungsbemessungsgrenze ist der 360. Teil der Beitragsbemessungsgrenze der allgemeinen Rentenversicherung für Jahresbezüge.</w:t>
      </w:r>
    </w:p>
    <w:p>
      <w:r>
        <w:t xml:space="preserve">(4) Bei der Berechnung des Regelentgelts und des Nettoarbeitsentgelts sind die Besonderheiten des Übergangsbereichs nach § 20 Abs. 2 des Vierten Buches Sozialgesetzbuch nicht zu berücksichtigen.</w:t>
      </w:r>
    </w:p>
    <w:p>
      <w:r>
        <w:t xml:space="preserve">(5) Bei der Berechnung des Regelentgelts ist für die im Jahr 2011 liegenden Entgeltabrechnungszeiträume § 9a Satz 1 Nummer 1 Buchstabe a des Einkommensteuergesetzes in der am 5. November 2011 geltenden Fassung anzuwenden.</w:t>
      </w:r>
    </w:p>
    <w:p>
      <w:r>
        <w:rPr>
          <w:color w:val="555555"/>
          <w:sz w:val="17"/>
        </w:rPr>
        <w:t xml:space="preserve">Zitiervorschlag: § 16a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