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BVG</w:t>
      </w:r>
    </w:p>
    <w:p>
      <w:r>
        <w:rPr>
          <w:color w:val="555555"/>
          <w:sz w:val="18"/>
        </w:rPr>
        <w:t xml:space="preserve">Bundesversorgungsgesetz</w:t>
      </w:r>
    </w:p>
    <w:p>
      <w:r>
        <w:rPr>
          <w:color w:val="555555"/>
          <w:sz w:val="18"/>
        </w:rPr>
        <w:t xml:space="preserve">Historische Fassung: Stand 01.07.2023 bis 01.01.2024. Dies ist nicht die aktuelle Fassung.</w:t>
      </w:r>
    </w:p>
    <w:p>
      <w:r>
        <w:t xml:space="preserve">Verursachen die anerkannten Folgen der Schädigung außergewöhnlichen Verschleiß an Kleidung oder Wäsche, so sind die dadurch entstehenden Kosten mit einem monatlichen Pauschbetrag von 25 bis 166 Euro zu ersetzen. Der Pauschbetrag ergibt sich aus der Multiplikation von 2,548 Euro mit der auf Grund einer Rechtsverordnung nach § 24a Buchstabe d für den jeweiligen Verschleißtatbestand festgesetzten Bewertungszahl. Die sich ergebenden Beträge sind bis 0,49 Euro auf volle Euro abzurunden und von 0,50 Euro an auf volle Euro aufzurunden. Übersteigen in besonderen Fällen die tatsächlichen Aufwendungen die höchste Stufe des Pauschbetrags, so sind sie erstattungsfähig.</w:t>
      </w:r>
    </w:p>
    <w:p>
      <w:r>
        <w:rPr>
          <w:color w:val="555555"/>
          <w:sz w:val="17"/>
        </w:rPr>
        <w:t xml:space="preserve">Zitiervorschlag: § 15 BVG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https://recht.nulegal.eu/gesetze/BVG/15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