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01.07.2023 bis 01.01.2024. Dies ist nicht die aktuelle Fassung.</w:t>
      </w:r>
    </w:p>
    <w:p>
      <w:r>
        <w:t xml:space="preserve">Beschädigte, bei denen Blindheit als Folge einer Schädigung anerkannt ist, erhalten monatlich 201 Euro zum Unterhalt eines Führhunds und als Beihilfe zu den Aufwendungen für fremde Führung.</w:t>
      </w:r>
    </w:p>
    <w:p>
      <w:r>
        <w:rPr>
          <w:color w:val="555555"/>
          <w:sz w:val="17"/>
        </w:rPr>
        <w:t xml:space="preserve">Zitiervorschlag: § 14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