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BVG§31Abs5DV</w:t>
      </w:r>
    </w:p>
    <w:p>
      <w:r>
        <w:rPr>
          <w:color w:val="555555"/>
          <w:sz w:val="18"/>
        </w:rPr>
        <w:t xml:space="preserve">Verordnung zur Durchführung des § 31 Abs. 4 des Bundesversorgungsgesetzes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nach § 2 ermittelte Punktzahl ist,</w:t>
      </w:r>
    </w:p>
    <w:p>
      <w:r>
        <w:rPr>
          <w:rFonts w:ascii="Courier New" w:hAnsi="Courier New"/>
          <w:sz w:val="17"/>
        </w:rPr>
        <w:t xml:space="preserve">1.    wenn Schädigungsfolgen an beiden Beinen zusammentreffen,    um 10 Punkte,</w:t>
      </w:r>
    </w:p>
    <w:p>
      <w:r>
        <w:rPr>
          <w:rFonts w:ascii="Courier New" w:hAnsi="Courier New"/>
          <w:sz w:val="17"/>
        </w:rPr>
        <w:t xml:space="preserve">    wenn jedoch beide Füße fehlen oder gebrauchsunfähig sind,    um 20 Punkte,</w:t>
      </w:r>
    </w:p>
    <w:p>
      <w:r>
        <w:rPr>
          <w:rFonts w:ascii="Courier New" w:hAnsi="Courier New"/>
          <w:sz w:val="17"/>
        </w:rPr>
        <w:t xml:space="preserve">2.    wenn Schädigungsfolgen an beiden Armen zusammentreffen,    um 20 Punkte,</w:t>
      </w:r>
    </w:p>
    <w:p>
      <w:r>
        <w:rPr>
          <w:rFonts w:ascii="Courier New" w:hAnsi="Courier New"/>
          <w:sz w:val="17"/>
        </w:rPr>
        <w:t xml:space="preserve">    wenn jedoch beide Hände fehlen oder gebrauchsunfähig sind,    um 40 Punkte,</w:t>
      </w:r>
    </w:p>
    <w:p>
      <w:r>
        <w:rPr>
          <w:rFonts w:ascii="Courier New" w:hAnsi="Courier New"/>
          <w:sz w:val="17"/>
        </w:rPr>
        <w:t xml:space="preserve">3.    wenn eine Hand und ein ganzer Fuß fehlen oder gebrauchsunfähig sind,    um 20 Punkte,</w:t>
      </w:r>
    </w:p>
    <w:p>
      <w:r>
        <w:rPr>
          <w:rFonts w:ascii="Courier New" w:hAnsi="Courier New"/>
          <w:sz w:val="17"/>
        </w:rPr>
        <w:t xml:space="preserve">4.    wenn Schädigungsfolgen an zwei oder mehreren inneren Organsystemen zusammentreffen,    um 20 Punkte,</w:t>
      </w:r>
    </w:p>
    <w:p>
      <w:r>
        <w:rPr>
          <w:rFonts w:ascii="Courier New" w:hAnsi="Courier New"/>
          <w:sz w:val="17"/>
        </w:rPr>
        <w:t xml:space="preserve">5.    wenn Blindheit mit weiteren Schädigungsfolgen zusammentrifft,    um 30 Punkte,</w:t>
      </w:r>
    </w:p>
    <w:p>
      <w:r>
        <w:rPr>
          <w:rFonts w:ascii="Courier New" w:hAnsi="Courier New"/>
          <w:sz w:val="17"/>
        </w:rPr>
        <w:t xml:space="preserve">6.    wenn Blindheit mit Ausfall oder nahezu völligem Ausfall eines oder mehrerer weiterer Sinnesorgane zusammentrifft,    um 30 Punkte</w:t>
      </w:r>
    </w:p>
    <w:p>
      <w:r>
        <w:t xml:space="preserve">zu erhöhen. Das gilt, mit Ausnahme der Nummer 6, nur, wenn die zusammentreffenden Schädigungsfolgen nach § 2 zu berücksichtigen sind.</w:t>
      </w:r>
    </w:p>
    <w:p>
      <w:r>
        <w:t xml:space="preserve">(2) Innere Organsysteme im Sinne des Absatzes 1 sind Atmung, Herz-Kreislauf, Verdauung, Harnapparat, Geschlechtsapparat, Blut einschließlich blutbildendem Gewebe und Immunsystem, die innere Sekretion sowie das Gehirn in seiner gesamten Funktion (ohne Aufteilung in Funktionsbereiche).</w:t>
      </w:r>
    </w:p>
    <w:p>
      <w:r>
        <w:rPr>
          <w:color w:val="555555"/>
          <w:sz w:val="17"/>
        </w:rPr>
        <w:t xml:space="preserve">Zitiervorschlag: § 3 BVG§31Abs5DV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https://recht.nulegal.eu/gesetze/BVG%C2%A731Abs5DV/3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