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BVG§31Abs5DV</w:t>
      </w:r>
    </w:p>
    <w:p>
      <w:r>
        <w:rPr>
          <w:color w:val="555555"/>
          <w:sz w:val="18"/>
        </w:rPr>
        <w:t xml:space="preserve">Verordnung zur Durchführung des § 31 Abs. 4 des Bundesversorgungsgesetzes</w:t>
      </w:r>
    </w:p>
    <w:p>
      <w:r>
        <w:rPr>
          <w:color w:val="555555"/>
          <w:sz w:val="18"/>
        </w:rPr>
        <w:t xml:space="preserve">Stand: 10.06.2019 (konsolidierte Textfassung, kein amtliches Inkrafttretensdatum)</w:t>
      </w:r>
    </w:p>
    <w:p>
      <w:r>
        <w:t xml:space="preserve">Schwerstbeschädigtenzulage erhalten Beschädigte, deren Schädigungsfolgen allein auf Grund der Beurteilung nach § 30 Abs. 1 des Bundesversorgungsgesetzes mit einem Grad der Schädigungsfolgen von 100 zu beurteilen sind, wenn die anerkannten Schädigungsfolgen nach den nachstehenden Vorschriften mit wenigstens 130 Punkten zu bewerten sind oder wenn sie Anspruch auf Pflegezulage mindestens nach Stufe III haben.</w:t>
      </w:r>
    </w:p>
    <w:p>
      <w:r>
        <w:rPr>
          <w:color w:val="555555"/>
          <w:sz w:val="17"/>
        </w:rPr>
        <w:t xml:space="preserve">Zitiervorschlag: § 1 BVG§31Abs5DV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https://recht.nulegal.eu/gesetze/BVG%C2%A731Abs5DV/1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