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BVG§15DV</w:t>
      </w:r>
    </w:p>
    <w:p>
      <w:r>
        <w:rPr>
          <w:color w:val="555555"/>
          <w:sz w:val="18"/>
        </w:rPr>
        <w:t xml:space="preserve">Verordnung zur Durchführung des § 15 des Bundesversorgungsgesetzes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Ist für das Zusammentreffen von Tatbeständen, die in § 1 geregelt sind, keine Bewertungszahl vorgesehen, so ist unter Berücksichtigung der Bewertungszahlen für die einzelnen Tatbestände eine Gesamtbewertungszahl festzusetzen, die 65 nicht überschreiten darf.</w:t>
      </w:r>
    </w:p>
    <w:p>
      <w:r>
        <w:rPr>
          <w:color w:val="555555"/>
          <w:sz w:val="17"/>
        </w:rPr>
        <w:t xml:space="preserve">Zitiervorschlag: § 2 BVG§15DV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https://recht.nulegal.eu/gesetze/BVG%C2%A715DV/2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