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BVG§11aDV</w:t>
      </w:r>
    </w:p>
    <w:p>
      <w:r>
        <w:rPr>
          <w:color w:val="555555"/>
          <w:sz w:val="18"/>
        </w:rPr>
        <w:t xml:space="preserve">Versehrtenleibesübungen-Verordnung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Diese Verordnung tritt mit Wirkung vom 1. Januar 1981 in Kraft.</w:t>
      </w:r>
    </w:p>
    <w:p>
      <w:r>
        <w:rPr>
          <w:color w:val="555555"/>
          <w:sz w:val="17"/>
        </w:rPr>
        <w:t xml:space="preserve">Zitiervorschlag: § 12 BVG§11aDV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https://recht.nulegal.eu/gesetze/BVG%C2%A711aDV/12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