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BVG§11aDV</w:t>
      </w:r>
    </w:p>
    <w:p>
      <w:r>
        <w:rPr>
          <w:color w:val="555555"/>
          <w:sz w:val="18"/>
        </w:rPr>
        <w:t xml:space="preserve">Versehrtenleibesübungen-Verordnung</w:t>
      </w:r>
    </w:p>
    <w:p>
      <w:r>
        <w:rPr>
          <w:color w:val="555555"/>
          <w:sz w:val="18"/>
        </w:rPr>
        <w:t xml:space="preserve">Historische Fassung: Stand 10.06.2019 bis 01.01.2024. Dies ist nicht die aktuelle Fassung.</w:t>
      </w:r>
    </w:p>
    <w:p>
      <w:r>
        <w:t xml:space="preserve">Ziel der Versehrtenleibesübungen ist es, durch Übungen, die auf die Art und die Schwere der Schädigungsfolgen und den gesundheitlichen Allgemeinzustand des Beschädigten abgestellt sind, die körperliche Leistungsfähigkeit des Beschädigten zu erhalten oder wiederzugewinnen.</w:t>
      </w:r>
    </w:p>
    <w:p>
      <w:r>
        <w:rPr>
          <w:color w:val="555555"/>
          <w:sz w:val="17"/>
        </w:rPr>
        <w:t xml:space="preserve">Zitiervorschlag: § 1 BVG§11aDV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https://recht.nulegal.eu/gesetze/BVG%C2%A711aDV/1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BVG§11aDV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