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BVFGZV (Brandenburg)</w:t>
      </w:r>
    </w:p>
    <w:p>
      <w:r>
        <w:rPr>
          <w:color w:val="555555"/>
          <w:sz w:val="18"/>
        </w:rPr>
        <w:t xml:space="preserve">Verordnung über Zuständigkeiten nach dem Bundesvertriebenengesetz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1997 in Kraft. Gleichzeitig</w:t>
      </w:r>
    </w:p>
    <w:p>
      <w:r>
        <w:t xml:space="preserve">tritt die Verordnung über Zuständigkeiten nach dem</w:t>
      </w:r>
    </w:p>
    <w:p>
      <w:r>
        <w:t xml:space="preserve">Bundesvertriebenengesetz vom 20. Januar 1992 (GVBl. II S. 30) außer</w:t>
      </w:r>
    </w:p>
    <w:p>
      <w:r>
        <w:t xml:space="preserve">Kraft.</w:t>
      </w:r>
    </w:p>
    <w:p>
      <w:r>
        <w:t xml:space="preserve">Potsdam, den 10. Dezember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t xml:space="preserve">Die Ministerin für Arbeit, Soziales, Gesundheit und</w:t>
      </w:r>
    </w:p>
    <w:p>
      <w:r>
        <w:t xml:space="preserve">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4 BVFGZV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