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BVFGZV (Brandenburg)</w:t>
      </w:r>
    </w:p>
    <w:p>
      <w:r>
        <w:rPr>
          <w:color w:val="555555"/>
          <w:sz w:val="18"/>
        </w:rPr>
        <w:t xml:space="preserve">Verordnung über Zuständigkeiten nach dem Bundesvertriebenengesetz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für die Entscheidung über die</w:t>
      </w:r>
    </w:p>
    <w:p>
      <w:r>
        <w:t xml:space="preserve">Zustimmung des aufnehmenden Landes nach § 28 Abs. 2 des</w:t>
      </w:r>
    </w:p>
    <w:p>
      <w:r>
        <w:t xml:space="preserve">Bundesvertriebenengesetzes ist das Landesamt für Soziales und Versorgung.</w:t>
      </w:r>
    </w:p>
    <w:p>
      <w:r>
        <w:rPr>
          <w:color w:val="555555"/>
          <w:sz w:val="17"/>
        </w:rPr>
        <w:t xml:space="preserve">Zitiervorschlag: § 3 BVFGZV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