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BVFGZV (Brandenburg)</w:t>
      </w:r>
    </w:p>
    <w:p>
      <w:r>
        <w:rPr>
          <w:color w:val="555555"/>
          <w:sz w:val="18"/>
        </w:rPr>
        <w:t xml:space="preserve">Verordnung über Zuständigkeiten nach dem Bundesvertriebenengesetz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des § 15 des</w:t>
      </w:r>
    </w:p>
    <w:p>
      <w:r>
        <w:t xml:space="preserve">Bundesvertriebenengesetzes zur Entscheidung über die Ausstellung von</w:t>
      </w:r>
    </w:p>
    <w:p>
      <w:r>
        <w:t xml:space="preserve">Bescheinigungen nach den §§ 15 und 100 Abs. 2 des</w:t>
      </w:r>
    </w:p>
    <w:p>
      <w:r>
        <w:t xml:space="preserve">Bundesvertriebenengesetzes sowie über die Anträge auf Gewährung</w:t>
      </w:r>
    </w:p>
    <w:p>
      <w:r>
        <w:t xml:space="preserve">der pauschalen Eingliederungshilfe nach § 9 Abs. 2 des</w:t>
      </w:r>
    </w:p>
    <w:p>
      <w:r>
        <w:t xml:space="preserve">Bundesvertriebenengesetzes ist das Landesamt für Soziales und Versorgung.</w:t>
      </w:r>
    </w:p>
    <w:p>
      <w:r>
        <w:rPr>
          <w:color w:val="555555"/>
          <w:sz w:val="17"/>
        </w:rPr>
        <w:t xml:space="preserve">Zitiervorschlag: § 2 BVFGZV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