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BVFGZV (Brandenburg)</w:t>
      </w:r>
    </w:p>
    <w:p>
      <w:r>
        <w:rPr>
          <w:color w:val="555555"/>
          <w:sz w:val="18"/>
        </w:rPr>
        <w:t xml:space="preserve">Verordnung über Zuständigkeiten nach dem Bundesvertriebenengesetz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Zentrale Dienststelle im Sinne des § 21 des</w:t>
      </w:r>
    </w:p>
    <w:p>
      <w:r>
        <w:t xml:space="preserve">Bundesvertriebenengesetzes ist das Ministerium für Arbeit, Soziales,</w:t>
      </w:r>
    </w:p>
    <w:p>
      <w:r>
        <w:t xml:space="preserve">Gesundheit und Frauen.</w:t>
      </w:r>
    </w:p>
    <w:p>
      <w:r>
        <w:rPr>
          <w:color w:val="555555"/>
          <w:sz w:val="17"/>
        </w:rPr>
        <w:t xml:space="preserve">Zitiervorschlag: § 1 BVFGZV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