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BVFG — Pflege des Kulturgutes der Vertriebenen und Flüchtlinge und Förderung der wissenschaftlichen Forschung</w:t>
      </w:r>
    </w:p>
    <w:p>
      <w:r>
        <w:rPr>
          <w:color w:val="555555"/>
          <w:sz w:val="18"/>
        </w:rPr>
        <w:t xml:space="preserve">Bundesvertriebenengesetz</w:t>
      </w:r>
    </w:p>
    <w:p>
      <w:r>
        <w:rPr>
          <w:color w:val="555555"/>
          <w:sz w:val="18"/>
        </w:rPr>
        <w:t xml:space="preserve">Stand: 10.06.2019 (konsolidierte Textfassung, kein amtliches Inkrafttretensdatum)</w:t>
      </w:r>
    </w:p>
    <w:p>
      <w:r>
        <w:t xml:space="preserve">Bund und Länder haben entsprechend ihrer durch das Grundgesetz gegebenen Zuständigkeit das Kulturgut der Vertreibungsgebiete in dem Bewusstsein der Vertriebenen und Flüchtlinge, des gesamten deutschen Volkes und des Auslandes zu erhalten, Archive, Museen und Bibliotheken zu sichern, zu ergänzen und auszuwerten sowie Einrichtungen des Kunstschaffens und der Ausbildung sicherzustellen und zu fördern. Sie haben Wissenschaft und Forschung bei der Erfüllung der Aufgaben, die sich aus der Vertreibung und der Eingliederung der Vertriebenen und Flüchtlinge ergeben, sowie die Weiterentwicklung der Kulturleistungen der Vertriebenen und Flüchtlinge zu fördern. Die Bundesregierung berichtet jährlich dem Bundestag über das von ihr Veranlasste.</w:t>
      </w:r>
    </w:p>
    <w:p>
      <w:r>
        <w:rPr>
          <w:color w:val="555555"/>
          <w:sz w:val="17"/>
        </w:rPr>
        <w:t xml:space="preserve">Zitiervorschlag: § 96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