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BVFG — Verteilung</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Die Länder nehmen die Spätaussiedler und ihre Ehegatten und Abkömmlinge, soweit sie die Voraussetzungen des § 7 Abs. 2 erfüllen, auf. Das Bundesverwaltungsamt legt das aufnehmende Land fest (Verteilungsverfahren). Bis zu dieser Festlegung werden die Personen vom Bund untergebracht. Spätaussiedler und in den Aufnahmebescheid einbezogene Ehegatten oder Abkömmlinge sind verpflichtet, sich nach der Einreise in den Geltungsbereich des Gesetzes in einer Erstaufnahmeeinrichtung des Bundes registrieren zu lassen.</w:t>
      </w:r>
    </w:p>
    <w:p>
      <w:r>
        <w:t xml:space="preserve">(2) Familienangehörige des Spätaussiedlers, die, ohne die Voraussetzungen des § 7 Abs. 2 zu erfüllen, gemeinsam mit dem Spätaussiedler eintreffen, können in das Verteilungsverfahren einbezogen werden.</w:t>
      </w:r>
    </w:p>
    <w:p>
      <w:r>
        <w:t xml:space="preserve">(3) Die Länder können durch Vereinbarung einen Schlüssel zur Verteilung festlegen. Bis zum Zustandekommen dieser Vereinbarung oder bei deren Wegfall richten sich die Verteilungsquoten für das jeweilige Kalenderjahr nach dem von der Geschäftsstelle der Bund-Länder-Kommission für Bildungsplanung und Forschungsförderung im Bundesanzeiger veröffentlichten Schlüssel, der für das vorangegangene Kalenderjahr entsprechend Steuereinnahmen und Bevölkerungszahl der Länder errechnet worden ist (Königsteiner Schlüssel).</w:t>
      </w:r>
    </w:p>
    <w:p>
      <w:r>
        <w:t xml:space="preserve">(4) Das Bundesverwaltungsamt hat den Schlüssel einzuhalten. Zu diesem Zweck kann ein von den Wünschen des Spätaussiedlers abweichendes Land zur Aufnahme verpflichtet werden.</w:t>
      </w:r>
    </w:p>
    <w:p>
      <w:r>
        <w:t xml:space="preserve">(5) Wer abweichend von der Festlegung oder ohne Festlegung des Bundesverwaltungsamtes in einem Land ständigen Aufenthalt nimmt, muss dort nicht aufgenommen werden.</w:t>
      </w:r>
    </w:p>
    <w:p>
      <w:r>
        <w:t xml:space="preserve">(6) (weggefallen)</w:t>
      </w:r>
    </w:p>
    <w:p>
      <w:r>
        <w:t xml:space="preserve">(7) § 45 des Achten Buches Sozialgesetzbuch (Artikel 1 des Gesetzes vom 26. Juni 1990, BGBl. I S. 1163) gilt nicht für Einrichtungen zur Aufnahme von Spätaussiedlern.</w:t>
      </w:r>
    </w:p>
    <w:p>
      <w:r>
        <w:rPr>
          <w:color w:val="555555"/>
          <w:sz w:val="17"/>
        </w:rPr>
        <w:t xml:space="preserve">Zitiervorschlag: § 8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