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BVFG — Grundsatz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Spätaussiedlern ist die Eingliederung in das berufliche, kulturelle und soziale Leben in der Bundesrepublik Deutschland zu erleichtern. Durch die Spätaussiedlung bedingte Nachteile sind zu mildern.</w:t>
      </w:r>
    </w:p>
    <w:p>
      <w:r>
        <w:t xml:space="preserve">(2) Die §§ 8, 10 und 11 sind auf den Ehegatten und die Abkömmlinge des Spätaussiedlers, die die Voraussetzungen des § 4 Abs. 1 oder 2 nicht erfüllen, aber die Aussiedlungsgebiete im Wege des Aufnahmeverfahrens verlassen haben, entsprechend anzuwenden. § 5 gilt sinngemäß.</w:t>
      </w:r>
    </w:p>
    <w:p>
      <w:r>
        <w:rPr>
          <w:color w:val="555555"/>
          <w:sz w:val="17"/>
        </w:rPr>
        <w:t xml:space="preserve">Zitiervorschlag: § 7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