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BVFG — Datenschutz</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Das Bundesverwaltungsamt und die im Aufnahmeverfahren mitwirkenden Behörden dürfen, soweit es zur Feststellung der Voraussetzungen nach § 27 erforderlich ist,</w:t>
      </w:r>
    </w:p>
    <w:p>
      <w:pPr>
        <w:ind w:left="420"/>
      </w:pPr>
      <w:r>
        <w:t xml:space="preserve">1. bei ihnen vorhandene personenbezogene Daten nutzen, die über die Spätaussiedlereigenschaft Aufschluss geben, auch wenn sie für andere Zwecke erhoben oder gespeichert worden sind,</w:t>
      </w:r>
    </w:p>
    <w:p>
      <w:pPr>
        <w:ind w:left="420"/>
      </w:pPr>
      <w:r>
        <w:t xml:space="preserve">2. personenbezogene Daten beim Betroffenen erheben.</w:t>
      </w:r>
    </w:p>
    <w:p>
      <w:r>
        <w:t xml:space="preserve">Unter den gleichen Voraussetzungen dürfen sie ohne Mitwirkung des Betroffenen bei anderen öffentlichen und nichtöffentlichen Stellen auch außerhalb des Geltungsbereichs dieses Gesetzes personenbezogene Daten erheben, soweit die nach Satz 1 erhobenen Daten eine Entscheidung über den Antrag des Betroffenen nicht ermöglichen. Öffentliche Stellen sind zu diesem Zwecke zu Auskünften verpflichtet. Die Nutzung und Übermittlung nach Satz 1 Nr. 1 und nach den Sätzen 2 und 3 unterbleiben, wenn besondere gesetzliche Verwendungsregelungen oder überwiegende schutzwürdige Interessen des Betroffenen oder Dritter entgegenstehen.</w:t>
      </w:r>
    </w:p>
    <w:p>
      <w:r>
        <w:t xml:space="preserve">(1a) Zur Feststellung von Ausschlussgründen nach § 5 Nummer 1 Buchstabe d und e darf das Bundesverwaltungsamt folgende Daten des Spätaussiedlers, seines Ehegatten oder seiner Abkömmlinge, die in den Aufnahmebescheid einbezogen werden sollen, an den Bundesnachrichtendienst, das Bundesamt für Verfassungsschutz, den Militärischen Abschirmdienst, die Bundespolizei, das Bundeskriminalamt und das Zollkriminalamt übermitteln:</w:t>
      </w:r>
    </w:p>
    <w:p>
      <w:pPr>
        <w:ind w:left="420"/>
      </w:pPr>
      <w:r>
        <w:t xml:space="preserve">1. den Familiennamen,</w:t>
      </w:r>
    </w:p>
    <w:p>
      <w:pPr>
        <w:ind w:left="420"/>
      </w:pPr>
      <w:r>
        <w:t xml:space="preserve">2. Bestandteile des Namens, die das deutsche Recht nicht vorsieht,</w:t>
      </w:r>
    </w:p>
    <w:p>
      <w:pPr>
        <w:ind w:left="420"/>
      </w:pPr>
      <w:r>
        <w:t xml:space="preserve">3. die Vornamen,</w:t>
      </w:r>
    </w:p>
    <w:p>
      <w:pPr>
        <w:ind w:left="420"/>
      </w:pPr>
      <w:r>
        <w:t xml:space="preserve">4. frühere Namen,</w:t>
      </w:r>
    </w:p>
    <w:p>
      <w:pPr>
        <w:ind w:left="420"/>
      </w:pPr>
      <w:r>
        <w:t xml:space="preserve">5. das Geschlecht,</w:t>
      </w:r>
    </w:p>
    <w:p>
      <w:pPr>
        <w:ind w:left="420"/>
      </w:pPr>
      <w:r>
        <w:t xml:space="preserve">6. das Geburtsdatum,</w:t>
      </w:r>
    </w:p>
    <w:p>
      <w:pPr>
        <w:ind w:left="420"/>
      </w:pPr>
      <w:r>
        <w:t xml:space="preserve">7. den Geburtsort und</w:t>
      </w:r>
    </w:p>
    <w:p>
      <w:pPr>
        <w:ind w:left="420"/>
      </w:pPr>
      <w:r>
        <w:t xml:space="preserve">8. die letzte Anschrift im Aussiedlungsgebiet.</w:t>
      </w:r>
    </w:p>
    <w:p>
      <w:r>
        <w:t xml:space="preserve">Soweit Anhaltspunkte für Ausschlussgründe nach § 5 Nummer 1 Buchstabe d oder e vorliegen, teilen die nach Satz 1 beteiligten Behörden dies dem Bundesverwaltungsamt nach Maßgabe der insoweit bestehenden besonderen gesetzlichen Verwendungsregelungen innerhalb von zehn Tagen nach Übermittlung der Daten nach Satz 1 mit. Hält die jeweilige Sicherheitsbehörde eine weitere Überprüfung der Ausschlussgründe für erforderlich, soll diese insgesamt innerhalb von drei Wochen nach Übermittlung der Daten nach Satz 1 abgeschlossen sein.</w:t>
      </w:r>
    </w:p>
    <w:p>
      <w:r>
        <w:t xml:space="preserve">(2) Die im Aufnahme- und Verteilungsverfahren gesammelten Daten dürfen, soweit gesetzlich nichts anderes bestimmt ist, nur für Zwecke dieser Verfahren einschließlich der vorläufigen Unterbringung durch die Länder, für Verfahren nach § 15 und zur Feststellung der Rechtsstellung als Deutscher nach Artikel 116 Abs. 1 des Grundgesetzes sowie für Verfahren zur Gewährung von Leistungen nach diesem Gesetz genutzt und übermittelt werden.</w:t>
      </w:r>
    </w:p>
    <w:p>
      <w:r>
        <w:rPr>
          <w:color w:val="555555"/>
          <w:sz w:val="17"/>
        </w:rPr>
        <w:t xml:space="preserve">Zitiervorschlag: § 29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