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100a BVFG — Übergangsregelung</w:t>
      </w:r>
    </w:p>
    <w:p>
      <w:r>
        <w:rPr>
          <w:color w:val="555555"/>
          <w:sz w:val="18"/>
        </w:rPr>
        <w:t xml:space="preserve">Bundesvertriebenengesetz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Spätaussiedlereigenschaft von Personen aus Estland, Lettland oder Litauen, die vor dem 24. Mai 2007 einen Aufnahmebescheid nach § 26 erhalten haben, bestimmt sich weiter nach den §§ 4 und 5 in der vor dem 24. Mai 2007 geltenden Fassung mit der Maßgabe, dass kein Ausschlussgrund nach § 5 Nr. 1 Buchstabe d oder Buchstabe e vorliegt.</w:t>
      </w:r>
    </w:p>
    <w:p>
      <w:r>
        <w:rPr>
          <w:color w:val="555555"/>
          <w:sz w:val="17"/>
        </w:rPr>
        <w:t xml:space="preserve">Zitiervorschlag: § 100a BVFG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https://recht.nulegal.eu/gesetze/BVFG/100a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