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III. BVAZustAnO</w:t>
      </w:r>
    </w:p>
    <w:p>
      <w:r>
        <w:rPr>
          <w:color w:val="555555"/>
          <w:sz w:val="18"/>
        </w:rPr>
        <w:t xml:space="preserve">Anordnung zur Übertragung von Zuständigkeiten für den Erlass von Widerspruchsbescheiden und die Vertretung des Dienstherrn bei Klagen von Beschäftigten des Bundesversicherungsamtes in Angelegenheiten nach dem Bundesreisekostengesetz, dem Bundesumzugskostengesetz einschließlich der hierzu ergangenen Trennungsgeldverordnung</w:t>
      </w:r>
    </w:p>
    <w:p>
      <w:r>
        <w:rPr>
          <w:color w:val="555555"/>
          <w:sz w:val="18"/>
        </w:rPr>
        <w:t xml:space="preserve">Historische Fassung: Stand 10.06.2019 bis 12.07.2022. Dies ist nicht die aktuelle Fassung.</w:t>
      </w:r>
    </w:p>
    <w:p>
      <w:r>
        <w:t xml:space="preserve">Diese Anordnung ist für das Bundesversicherungsamt mit Wirkung vom 1. Oktober 2005 anzuwenden.</w:t>
      </w:r>
    </w:p>
    <w:p>
      <w:r>
        <w:rPr>
          <w:color w:val="555555"/>
          <w:sz w:val="17"/>
        </w:rPr>
        <w:t xml:space="preserve">Zitiervorschlag: III. BVAZustAnO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https://recht.nulegal.eu/gesetze/BVAZustAnO/iii.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