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BVARKAnO</w:t>
      </w:r>
    </w:p>
    <w:p>
      <w:r>
        <w:rPr>
          <w:color w:val="555555"/>
          <w:sz w:val="18"/>
        </w:rPr>
        <w:t xml:space="preserve">Allgemeine Anordnung über die Zuständigkeit des Bundesversicherungsamtes auf dem Gebiete des Reisekostenrechts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Anordnung tritt am Tage nach ihrer Veröffentlichung in Kraft.</w:t>
      </w:r>
    </w:p>
    <w:p>
      <w:r>
        <w:rPr>
          <w:color w:val="555555"/>
          <w:sz w:val="17"/>
        </w:rPr>
        <w:t xml:space="preserve">Zitiervorschlag: II. BVARKAnO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https://recht.nulegal.eu/gesetze/BVARKAnO/ii.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