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III. BVABesZustAnO — Inkrafttreten</w:t>
      </w:r>
    </w:p>
    <w:p>
      <w:r>
        <w:rPr>
          <w:color w:val="555555"/>
          <w:sz w:val="18"/>
        </w:rPr>
        <w:t xml:space="preserve">Anordnung zur Übertragung von Zuständigkeiten für den Erlass von Widerspruchsbescheiden und die Vertretung des Dienstherrn bei Klagen von Beschäftigten des Bundesversicherungsamtes sowie bei Klagen des Dienstherrn in besoldungsrechtlichen Angelegenheiten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Anordnung tritt am Tag nach der Veröffentlichung in Kraft.</w:t>
      </w:r>
    </w:p>
    <w:p>
      <w:r>
        <w:rPr>
          <w:color w:val="555555"/>
          <w:sz w:val="17"/>
        </w:rPr>
        <w:t xml:space="preserve">Zitiervorschlag: III. BVABesZustAnO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https://recht.nulegal.eu/gesetze/BVABesZustAnO/iii.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