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BVAÜWidVertrAnO — Übergangsregelung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bei Klagen von Beschäftigten des Bundesverwaltungsgerichts und Bundespatentgerichts in Angelegenheiten der Besoldung, des Umzugskosten- und Trennungsgeldrechts sowie von Beschäftigten des Bundesfinanzhofs in Angelegenheiten des Umzugskostenrechts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 ist auch auf Widersprüche gegen Maßnahmen anzuwenden, die das Bundesamt für zentrale Dienste und offene Vermögensfragen vor dem 1. Juni 2017 getroffen hat.</w:t>
      </w:r>
    </w:p>
    <w:p>
      <w:r>
        <w:t xml:space="preserve">(2) § 2 ist auch anzuwenden, wenn der Widerspruchsbescheid vor dem 1. Juni 2017 vom Bundesamt für zentrale Dienste und offene Vermögensfragen erlassen worden ist.</w:t>
      </w:r>
    </w:p>
    <w:p>
      <w:r>
        <w:rPr>
          <w:color w:val="555555"/>
          <w:sz w:val="17"/>
        </w:rPr>
        <w:t xml:space="preserve">Zitiervorschlag: § 3 BVAÜWidVertrAnO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https://recht.nulegal.eu/gesetze/BVA%C3%9CWidVertrAnO/3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