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BUrlV — Inanspruchnahme von Urlaub; Verfall des Urlaubs</w:t>
      </w:r>
    </w:p>
    <w:p>
      <w:r>
        <w:rPr>
          <w:color w:val="555555"/>
          <w:sz w:val="18"/>
        </w:rPr>
        <w:t xml:space="preserve">Erholungsurlaubsverordnung</w:t>
      </w:r>
    </w:p>
    <w:p>
      <w:r>
        <w:rPr>
          <w:color w:val="555555"/>
          <w:sz w:val="18"/>
        </w:rPr>
        <w:t xml:space="preserve">Stand: 27.06.2020 (konsolidierte Textfassung, kein amtliches Inkrafttretensdatum)</w:t>
      </w:r>
    </w:p>
    <w:p>
      <w:r>
        <w:t xml:space="preserve">(1) Der Urlaub soll grundsätzlich im Urlaubsjahr in Anspruch genommen werden.</w:t>
      </w:r>
    </w:p>
    <w:p>
      <w:r>
        <w:t xml:space="preserve">(2) Vorbehaltlich des Absatzes 3 verfällt Urlaub, der nicht innerhalb von zwölf Monaten nach dem Ende des Urlaubsjahres in Anspruch genommen worden ist.</w:t>
      </w:r>
    </w:p>
    <w:p>
      <w:r>
        <w:t xml:space="preserve">(3) Soweit der Erholungsurlaub in Höhe des unionsrechtlich gewährleisteten Mindesturlaubsanspruchs (Artikel 7 Absatz 1 der Richtlinie 2003/88/EG) wegen vorübergehender Dienstunfähigkeit nicht genommen wird, verfällt er spätestens mit Ablauf von 15 Monaten nach dem Ende des Urlaubsjahres.</w:t>
      </w:r>
    </w:p>
    <w:p>
      <w:r>
        <w:t xml:space="preserve">(4) Für die bei den Postnachfolgeunternehmen beschäftigten Beamtinnen und Beamten kann die oberste Dienstbehörde mit Zustimmung des Bundesministeriums des Innern, für Bau und Heimat und des Bundesministeriums der Finanzen Regelungen treffen, die von den Absätzen 2 und 3 abweichen.</w:t>
      </w:r>
    </w:p>
    <w:p>
      <w:r>
        <w:rPr>
          <w:color w:val="555555"/>
          <w:sz w:val="17"/>
        </w:rPr>
        <w:t xml:space="preserve">Zitiervorschlag: § 7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