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BUrlV — Anrechnung und Übertragung von Urlaub aus anderen Beschäftigungsverhältnissen</w:t>
      </w:r>
    </w:p>
    <w:p>
      <w:r>
        <w:rPr>
          <w:color w:val="555555"/>
          <w:sz w:val="18"/>
        </w:rPr>
        <w:t xml:space="preserve">Erholungsurlaubsverordnung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Erholungsurlaub, den die Beamtin oder der Beamte in einem anderen Beschäftigungsverhältnis für das laufende Urlaubsjahr in Anspruch genommen hat, ist auf den Erholungsurlaub anzurechnen. Erholungsurlaub aus vorangegangenen Urlaubsjahren wird nicht angerechnet.</w:t>
      </w:r>
    </w:p>
    <w:p>
      <w:r>
        <w:t xml:space="preserve">(2) Erholungsurlaub, den die Beamtin oder der Beamte in einem anderen Beschäftigungsverhältnis während einer Beurlaubung ohne Besoldung aus vorangegangenen Urlaubsjahren erworben und nicht in Anspruch genommen hat, wird nicht übertragen.</w:t>
      </w:r>
    </w:p>
    <w:p>
      <w:r>
        <w:rPr>
          <w:color w:val="555555"/>
          <w:sz w:val="17"/>
        </w:rPr>
        <w:t xml:space="preserve">Zitiervorschlag: § 6 BUrlV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