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BUrlV — Urlaubsdauer bei Übergang zu Teilzeit</w:t>
      </w:r>
    </w:p>
    <w:p>
      <w:r>
        <w:rPr>
          <w:color w:val="555555"/>
          <w:sz w:val="18"/>
        </w:rPr>
        <w:t xml:space="preserve">Erholungsurlaubsverordnung</w:t>
      </w:r>
    </w:p>
    <w:p>
      <w:r>
        <w:rPr>
          <w:color w:val="555555"/>
          <w:sz w:val="18"/>
        </w:rPr>
        <w:t xml:space="preserve">Stand: 25.08.2021 (konsolidierte Textfassung, kein amtliches Inkrafttretensdatum)</w:t>
      </w:r>
    </w:p>
    <w:p>
      <w:r>
        <w:t xml:space="preserve">(1) Verringert sich bei einem Übergang von Vollzeit- zu Teilzeitbeschäftigung die Zahl der wöchentlichen Arbeitstage, so bleibt der bis dahin erworbene Erholungsurlaubsanspruch in Höhe des unionsrechtlich gewährleisteten Mindesturlaubsanspruchs (Artikel 7 Absatz 1 der Richtlinie 2003/88/EG des Europäischen Parlaments und des Rates vom 4. November 2003 über bestimmte Aspekte der Arbeitszeitgestaltung [ABl. L 299 vom 18.11.2003, S. 9]) unberührt, soweit er aus einem der folgenden Gründe nicht erfüllt werden konnte:</w:t>
      </w:r>
    </w:p>
    <w:p>
      <w:pPr>
        <w:ind w:left="420"/>
      </w:pPr>
      <w:r>
        <w:t xml:space="preserve">1. Ablehnung oder Widerruf des Erholungsurlaubs,</w:t>
      </w:r>
    </w:p>
    <w:p>
      <w:pPr>
        <w:ind w:left="420"/>
      </w:pPr>
      <w:r>
        <w:t xml:space="preserve">2. durch ein ärztliches Zeugnis nachgewiesene Dienstunfähigkeit infolge von Krankheit (§ 96 Absatz 1 Satz 2 des Bundesbeamtengesetzes),</w:t>
      </w:r>
    </w:p>
    <w:p>
      <w:pPr>
        <w:ind w:left="420"/>
      </w:pPr>
      <w:r>
        <w:t xml:space="preserve">3. Beschäftigungsverbot nach § 16 Absatz 1 des Mutterschutzgesetzes in Verbindung mit § 2 Absatz 1 Satz 1 Nummer 5 der Mutterschutz- und Elternzeitverordnung.</w:t>
      </w:r>
    </w:p>
    <w:p>
      <w:pPr>
        <w:ind w:left="420"/>
      </w:pPr>
      <w:r>
        <w:t xml:space="preserve">4. Dienstunfähigkeit nach § 44 des Bundesbeamtengesetzes,</w:t>
      </w:r>
    </w:p>
    <w:p>
      <w:pPr>
        <w:ind w:left="420"/>
      </w:pPr>
      <w:r>
        <w:t xml:space="preserve">5. begrenzte Dienstfähigkeit nach § 45 des Bundesbeamtengesetzes.</w:t>
      </w:r>
    </w:p>
    <w:p>
      <w:r>
        <w:t xml:space="preserve">Satz 1 Nummer 4 findet nur Anwendung, wenn eine erneute Berufung in das Beamtenverhältnis nach § 46 des Bundesbeamtengesetzes erfolgt.</w:t>
      </w:r>
    </w:p>
    <w:p>
      <w:r>
        <w:t xml:space="preserve">(2) Der Urlaubsanspruch, der über den Urlaubsanspruch hinausgeht, der nach Absatz 1 unberührt bleibt, ist ab dem Zeitpunkt des Übergangs im selben Verhältnis zu verringern wie die Zahl der wöchentlichen Arbeitstage. Das gilt nicht, wenn der Erholungsurlaub nach Stunden berechnet wird.</w:t>
      </w:r>
    </w:p>
    <w:p>
      <w:r>
        <w:rPr>
          <w:color w:val="555555"/>
          <w:sz w:val="17"/>
        </w:rPr>
        <w:t xml:space="preserve">Zitiervorschlag: § 5a BUrlV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https://recht.nulegal.eu/gesetze/BUrlV/5a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