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BUrlV — Gewährleistung des Dienstbetriebes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beantragte Urlaub ist nach den folgenden Vorschriften zu erteilen, sofern die ordnungsmäßige Erledigung der Dienstgeschäfte gewährleistet ist; Stellvertretungskosten sind möglichst zu vermeiden.</w:t>
      </w:r>
    </w:p>
    <w:p>
      <w:r>
        <w:t xml:space="preserve">(2) Der Erholungsurlaub kann geteilt gewährt werden, soweit dadurch der Urlaubszweck nicht gefährdet wird. Es werden nur ganze Arbeitstage Erholungsurlaub gewährt.</w:t>
      </w:r>
    </w:p>
    <w:p>
      <w:r>
        <w:rPr>
          <w:color w:val="555555"/>
          <w:sz w:val="17"/>
        </w:rPr>
        <w:t xml:space="preserve">Zitiervorschlag: § 2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https://recht.nulegal.eu/gesetze/BUrlV/2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