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BUrlV — Auslandsverwendung</w:t>
      </w:r>
    </w:p>
    <w:p>
      <w:r>
        <w:rPr>
          <w:color w:val="555555"/>
          <w:sz w:val="18"/>
        </w:rPr>
        <w:t xml:space="preserve">Erholungsurlaubsverordnung</w:t>
      </w:r>
    </w:p>
    <w:p>
      <w:r>
        <w:rPr>
          <w:color w:val="555555"/>
          <w:sz w:val="18"/>
        </w:rPr>
        <w:t xml:space="preserve">Stand: 27.06.2020 (konsolidierte Textfassung, kein amtliches Inkrafttretensdatum)</w:t>
      </w:r>
    </w:p>
    <w:p>
      <w:r>
        <w:t xml:space="preserve">(1) Für im Ausland tätige Beamtinnen und Beamte, die nicht dem Auswärtigen Dienst angehören, gilt die Heimaturlaubsverordnung entsprechend. Soweit Beamtinnen und Beamte an Dienstorten nach § 1 der Heimaturlaubsverordnung vom 3. Juni 2002 (BGBl. I S. 1784), die zuletzt durch Artikel 1 der Verordnung vom 15. Juni 2010 (BGBl. I S. 792) geändert worden ist, tätig sind, die nicht in der Allgemeinen Verwaltungsvorschrift über zusätzliche Urlaubstage für Beamtinnen und Beamte des Auswärtigen Dienstes an ausländischen Dienstorten erfasst sind, setzt das Bundesministerium des Innern, für Bau und Heimat den Zusatzurlaub im Einvernehmen mit dem Auswärtigen Amt fest.</w:t>
      </w:r>
    </w:p>
    <w:p>
      <w:r>
        <w:t xml:space="preserve">(2) Im Ausland tätige schwerbehinderte Beamtinnen und Beamte erhalten einen Zusatzurlaub von fünf Arbeitstagen im Jahr; bei Verteilung der regelmäßigen Arbeitszeit auf mehr oder weniger als fünf Arbeitstage in der Kalenderwoche erhöht oder vermindert sich der Zusatzurlaub entsprechend.</w:t>
      </w:r>
    </w:p>
    <w:p>
      <w:r>
        <w:rPr>
          <w:color w:val="555555"/>
          <w:sz w:val="17"/>
        </w:rPr>
        <w:t xml:space="preserve">Zitiervorschlag: § 16 BUrlV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https://recht.nulegal.eu/gesetze/BUrlV/16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