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BUrlV — Geltungsbereich</w:t>
      </w:r>
    </w:p>
    <w:p>
      <w:r>
        <w:rPr>
          <w:color w:val="555555"/>
          <w:sz w:val="18"/>
        </w:rPr>
        <w:t xml:space="preserve">Erholungsurlaubsverordnung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auch für die Richterinnen und Richter des Bundes und die Beamtinnen und Beamten der nach Artikel 130 des Grundgesetzes der Bundesregierung unterstehenden Verwaltungsorgane und Einrichtungen.</w:t>
      </w:r>
    </w:p>
    <w:p>
      <w:r>
        <w:rPr>
          <w:color w:val="555555"/>
          <w:sz w:val="17"/>
        </w:rPr>
        <w:t xml:space="preserve">Zitiervorschlag: § 15 BUrlV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