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BUrlV — Sonderregelungen für ehemals bundeseigene Unternehmen</w:t>
      </w:r>
    </w:p>
    <w:p>
      <w:r>
        <w:rPr>
          <w:color w:val="555555"/>
          <w:sz w:val="18"/>
        </w:rPr>
        <w:t xml:space="preserve">Erholungsurlaubsverordnung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den Bereich der Deutschen Bahn Aktiengesellschaft oder einer Gesellschaft, die ausgegliedert worden ist nach § 2 Absatz 1 und § 3 Absatz 3 des Deutsche Bahn Gründungsgesetzes vom 27. Dezember 1993 (BGBl. I S. 2378, 2386), das zuletzt durch Artikel 307 der Verordnung vom 31. Oktober 2006 (BGBl. I S. 2407) geändert worden ist, kann die oberste Dienstbehörde von der Anwendung des § 12 Absatz 1 absehen.</w:t>
      </w:r>
    </w:p>
    <w:p>
      <w:r>
        <w:t xml:space="preserve">(2) Für Beamtinnen und Beamte, die bei den Postnachfolgeunternehmen beschäftigt sind, kann die oberste Dienstbehörde</w:t>
      </w:r>
    </w:p>
    <w:p>
      <w:pPr>
        <w:ind w:left="420"/>
      </w:pPr>
      <w:r>
        <w:t xml:space="preserve">1. statt des Zusatzurlaubs Freischichten in entsprechendem Umfang gewähren oder</w:t>
      </w:r>
    </w:p>
    <w:p>
      <w:pPr>
        <w:ind w:left="420"/>
      </w:pPr>
      <w:r>
        <w:t xml:space="preserve">2. von der Anwendung des § 12 Absatz 1 absehen.</w:t>
      </w:r>
    </w:p>
    <w:p>
      <w:r>
        <w:rPr>
          <w:color w:val="555555"/>
          <w:sz w:val="17"/>
        </w:rPr>
        <w:t xml:space="preserve">Zitiervorschlag: § 13 BUrlV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https://recht.nulegal.eu/gesetze/BUrlV/13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