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BUrlV — Urlaubsjahr</w:t>
      </w:r>
    </w:p>
    <w:p>
      <w:r>
        <w:rPr>
          <w:color w:val="555555"/>
          <w:sz w:val="18"/>
        </w:rPr>
        <w:t xml:space="preserve">Erholungsurlaubsverordnung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Urlaubsjahr ist das Kalenderjahr. Für die bei den Postnachfolgeunternehmen beschäftigten Beamtinnen und Beamten kann die oberste Dienstbehörde eine abweichende Regelung treffen.</w:t>
      </w:r>
    </w:p>
    <w:p>
      <w:r>
        <w:rPr>
          <w:color w:val="555555"/>
          <w:sz w:val="17"/>
        </w:rPr>
        <w:t xml:space="preserve">Zitiervorschlag: § 1 BUrlV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https://recht.nulegal.eu/gesetze/BUrlV/1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