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BUrlG — Ausschluß von Doppelansprüchen</w:t>
      </w:r>
    </w:p>
    <w:p>
      <w:r>
        <w:rPr>
          <w:color w:val="555555"/>
          <w:sz w:val="18"/>
        </w:rPr>
        <w:t xml:space="preserve">Bundesurlaubsgesetz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Anspruch auf Urlaub besteht nicht, soweit dem Arbeitnehmer für das laufende Kalenderjahr bereits von einem früheren Arbeitgeber Urlaub gewährt worden ist.</w:t>
      </w:r>
    </w:p>
    <w:p>
      <w:r>
        <w:t xml:space="preserve">(2) Der Arbeitgeber ist verpflichtet, bei Beendigung des Arbeitsverhältnisses dem Arbeitnehmer eine Bescheinigung über den im laufenden Kalenderjahr gewährten oder abgegoltenen Urlaub auszuhändigen.</w:t>
      </w:r>
    </w:p>
    <w:p>
      <w:r>
        <w:rPr>
          <w:color w:val="555555"/>
          <w:sz w:val="17"/>
        </w:rPr>
        <w:t xml:space="preserve">Zitiervorschlag: § 6 BUrlG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https://recht.nulegal.eu/gesetze/BUrlG/6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