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BUrlG — Inkrafttreten</w:t>
      </w:r>
    </w:p>
    <w:p>
      <w:r>
        <w:rPr>
          <w:color w:val="555555"/>
          <w:sz w:val="18"/>
        </w:rPr>
        <w:t xml:space="preserve">Bundesurlaubsgesetz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Wirkung vom 1. Januar 1963 in Kraft.</w:t>
      </w:r>
    </w:p>
    <w:p>
      <w:r>
        <w:rPr>
          <w:color w:val="555555"/>
          <w:sz w:val="17"/>
        </w:rPr>
        <w:t xml:space="preserve">Zitiervorschlag: § 16 BUrlG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