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BUZAV — Zuteilung von Forderungen des Ausgleichsfonds Währungsumstellung</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Das Bundesaufsichtsamt teilt dem Ausgleichsfonds Währungsumstellung Forderungen gegen Geldinstitute zu, soweit deren Vermögenswerte die aus der Einführung der Währung der Deutschen Mark und der Währungsumstellung in der Deutschen Demokratischen Republik hervorgehenden Verbindlichkeiten einschließlich der Rückstellungen sowie das Eigenkapital gemäß § 4 Abs. 1 überschreiten.</w:t>
      </w:r>
    </w:p>
    <w:p>
      <w:r>
        <w:t xml:space="preserve">(2) Das Bundesaufsichtsamt teilt dem Ausgleichsfonds Währungsumstellung Forderungen gegen Außenhandelsbetriebe zu, soweit deren Vermögenswerte die aus der Einführung der Währung der Deutschen Mark und der Währungsumstellung in der Deutschen Demokratischen Republik hervorgehenden Verbindlichkeiten einschließlich der Rückstellungen überschreiten.</w:t>
      </w:r>
    </w:p>
    <w:p>
      <w:r>
        <w:t xml:space="preserve">(3) Hat das Bundesaufsichtsamt dem Ausgleichsfonds Währungsumstellung eine Forderung gegen ein Geldinstitut oder einen Außenhandelsbetrieb zugeteilt, teilt es dem betroffenen Unternehmen mit, daß dieses eine entsprechende Ausgleichsverbindlichkeit gegenüber dem Ausgleichsfonds Währungsumstellung hat.</w:t>
      </w:r>
    </w:p>
    <w:p>
      <w:r>
        <w:t xml:space="preserve">(4) Das Bundesaufsichtsamt teilt dem Ausgleichsfonds Währungsumstellung die Höhe der gegen ihn gerichteten Ausgleichsforderungen nach § 4 Abs. 1 und 2 sowie seiner Forderungen nach Absatz 1 und 2 mit. Soweit die gegen ihn gerichteten Ausgleichsforderungen nach § 4 Abs. 1 und 2 insgesamt höher sind als seine Forderungen nach Absatz 1 und 2, teilt das Bundesaufsichtsamt dem Ausgleichsfonds Währungsumstellung eine Forderung gegen das Sondervermögen des Bundes "Kreditabwicklungsfonds" zu. Der fortgeschriebene Saldo der Ausgleichsforderungen nach § 4 Abs. 1 und 2 sowie der Forderungen nach Absatz 1 und 2 wird dem Ausgleichsfonds Währungsumstellung einmal monatlich bestätigt. Die Bestätigung gilt als Zuteilung.</w:t>
      </w:r>
    </w:p>
    <w:p>
      <w:r>
        <w:t xml:space="preserve">(5) § 4 Abs. 3 und 4 gilt entsprechend.</w:t>
      </w:r>
    </w:p>
    <w:p>
      <w:r>
        <w:rPr>
          <w:color w:val="555555"/>
          <w:sz w:val="17"/>
        </w:rPr>
        <w:t xml:space="preserve">Zitiervorschlag: § 5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