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BUZAV — Bestätigung der Umstellungsrechnung</w:t>
      </w:r>
    </w:p>
    <w:p>
      <w:r>
        <w:rPr>
          <w:color w:val="555555"/>
          <w:sz w:val="18"/>
        </w:rPr>
        <w:t xml:space="preserve">Verordnung über die Bestätigung der Umstellungsrechnung und das Verfahren der Zuteilung und des Erwerbs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Bundesaufsichtsamt prüft anhand der in § 2 genannten Unterlagen, ob die Vermögenswerte und Verbindlichkeiten in Mark der Deutschen Demokratischen Republik nach dem D-Markbilanzgesetz umgestellt worden sind und bestätigt die Umstellungsrechnung. Es ist nicht an den Bestätigungsvermerk des Prüfers gebunden.</w:t>
      </w:r>
    </w:p>
    <w:p>
      <w:r>
        <w:rPr>
          <w:color w:val="555555"/>
          <w:sz w:val="17"/>
        </w:rPr>
        <w:t xml:space="preserve">Zitiervorschlag: § 3 BUZAV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https://recht.nulegal.eu/gesetze/BUZAV/3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