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BUKG 1990 — Anspruch auf Umzugskostenvergütung</w:t>
      </w:r>
    </w:p>
    <w:p>
      <w:r>
        <w:rPr>
          <w:color w:val="555555"/>
          <w:sz w:val="18"/>
        </w:rPr>
        <w:t xml:space="preserve">Bundesumzugskostengesetz</w:t>
      </w:r>
    </w:p>
    <w:p>
      <w:r>
        <w:rPr>
          <w:color w:val="555555"/>
          <w:sz w:val="18"/>
        </w:rPr>
        <w:t xml:space="preserve">Stand: 10.06.2019 (konsolidierte Textfassung, kein amtliches Inkrafttretensdatum)</w:t>
      </w:r>
    </w:p>
    <w:p>
      <w:r>
        <w:t xml:space="preserve">(1) Voraussetzung für den Anspruch auf Umzugskostenvergütung ist die schriftliche oder elektronische Zusage. Sie soll gleichzeitig mit der den Umzug veranlassenden Maßnahme erteilt werden. In den Fällen des § 4 Abs. 3 muß die Umzugskostenvergütung vor dem Umzug zugesagt werden.</w:t>
      </w:r>
    </w:p>
    <w:p>
      <w:r>
        <w:t xml:space="preserve">(2) Die Umzugskostenvergütung wird nach Beendigung des Umzuges gewährt. Sie ist innerhalb einer Ausschlußfrist von einem Jahr bei der Beschäftigungsbehörde, in den Fällen des § 4 Abs. 3 bei der letzten Beschäftigungsbehörde, schriftlich oder elektronisch zu beantragen. Die Frist beginnt mit dem Tage nach Beendigung des Umzuges, in den Fällen des § 11 Abs. 3 Satz 1 mit der Bekanntgabe des Widerrufs.</w:t>
      </w:r>
    </w:p>
    <w:p>
      <w:r>
        <w:t xml:space="preserve">(3) Umzugskostenvergütung wird nicht gewährt, wenn nicht innerhalb von fünf Jahren nach Wirksamwerden der Zusage der Umzugskostenvergütung umgezogen wird. Die oberste Dienstbehörde kann diese Frist in besonders begründeten Ausnahmefällen um längstens zwei Jahre verlängern. § 4 Abs. 3 Satz 2 bleibt unberührt.</w:t>
      </w:r>
    </w:p>
    <w:p>
      <w:r>
        <w:rPr>
          <w:color w:val="555555"/>
          <w:sz w:val="17"/>
        </w:rPr>
        <w:t xml:space="preserve">Zitiervorschlag: § 2 BUKG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https://recht.nulegal.eu/gesetze/BUKG%201990/2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